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</w:t>
      </w:r>
      <w:r>
        <w:rPr>
          <w:sz w:val="24"/>
          <w:szCs w:val="24"/>
          <w:highlight w:val="white"/>
        </w:rPr>
        <w:t xml:space="preserve">__________________, с другой стороны,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совместно </w:t>
      </w:r>
      <w:r>
        <w:rPr>
          <w:sz w:val="24"/>
          <w:szCs w:val="24"/>
          <w:highlight w:val="white"/>
        </w:rPr>
        <w:t xml:space="preserve">в дальнейшем </w:t>
      </w:r>
      <w:r>
        <w:rPr>
          <w:sz w:val="24"/>
          <w:szCs w:val="24"/>
          <w:highlight w:val="white"/>
        </w:rPr>
        <w:t xml:space="preserve">именуемые Стороны, а по отдельности Сторона, </w:t>
      </w:r>
      <w:r>
        <w:rPr>
          <w:sz w:val="24"/>
          <w:szCs w:val="24"/>
          <w:highlight w:val="white"/>
        </w:rPr>
        <w:br/>
      </w:r>
      <w:r>
        <w:rPr>
          <w:sz w:val="24"/>
          <w:szCs w:val="24"/>
          <w:highlight w:val="white"/>
          <w:lang w:eastAsia="en-US"/>
        </w:rPr>
        <w:t xml:space="preserve">по </w:t>
      </w:r>
      <w:r>
        <w:rPr>
          <w:sz w:val="24"/>
          <w:szCs w:val="24"/>
          <w:highlight w:val="white"/>
          <w:lang w:eastAsia="en-US"/>
        </w:rPr>
        <w:t xml:space="preserve">результатам </w:t>
      </w:r>
      <w:r>
        <w:rPr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sz w:val="24"/>
          <w:szCs w:val="24"/>
          <w:highlight w:val="white"/>
          <w:lang w:eastAsia="en-US"/>
        </w:rPr>
        <w:t xml:space="preserve">конкурентной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закупочной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sz w:val="24"/>
          <w:szCs w:val="24"/>
          <w:highlight w:val="white"/>
          <w:lang w:eastAsia="en-US"/>
        </w:rPr>
        <w:t xml:space="preserve">по лоту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№ </w:t>
      </w:r>
      <w:r>
        <w:rPr>
          <w:sz w:val="24"/>
          <w:szCs w:val="24"/>
          <w:highlight w:val="white"/>
          <w:lang w:eastAsia="en-US"/>
        </w:rPr>
        <w:t xml:space="preserve">_____ и на основании </w:t>
      </w:r>
      <w:r>
        <w:rPr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заключили настоящий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поставки </w:t>
      </w:r>
      <w:r>
        <w:rPr>
          <w:sz w:val="24"/>
          <w:szCs w:val="24"/>
          <w:highlight w:val="white"/>
        </w:rPr>
        <w:t xml:space="preserve">(далее – «Договор») о нижеследующем: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Cs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lang w:eastAsia="en-US"/>
        </w:rPr>
        <w:t xml:space="preserve">и Поставщик и/ или изготовитель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</w:t>
      </w:r>
      <w:r>
        <w:rPr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</w:t>
      </w:r>
      <w:r>
        <w:rPr>
          <w:b/>
          <w:sz w:val="24"/>
          <w:szCs w:val="24"/>
          <w:lang w:eastAsia="en-US"/>
        </w:rPr>
        <w:t xml:space="preserve">Универсальный передаточный документ</w:t>
      </w:r>
      <w:r>
        <w:rPr>
          <w:b/>
          <w:sz w:val="24"/>
          <w:szCs w:val="24"/>
          <w:lang w:eastAsia="en-US"/>
        </w:rPr>
        <w:t xml:space="preserve">» </w:t>
      </w:r>
      <w:r>
        <w:rPr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унифицированная форма первичного документа, которая одновременно выполняет функции счёта-фактуры и товарной накладной (или акта оказанных услуг). Форма утверждена Федеральной налоговой службой России (ФНС) в 2013 году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80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баллоны стальные</w:t>
      </w:r>
      <w:r>
        <w:rPr>
          <w:bCs/>
          <w:sz w:val="24"/>
          <w:szCs w:val="24"/>
        </w:rPr>
        <w:t xml:space="preserve"> 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Общий с</w:t>
      </w:r>
      <w:r>
        <w:rPr>
          <w:bCs/>
          <w:sz w:val="24"/>
          <w:szCs w:val="24"/>
        </w:rPr>
        <w:t xml:space="preserve">рок поставки Товара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заключения договора по</w:t>
      </w:r>
      <w:r>
        <w:rPr>
          <w:bCs/>
          <w:sz w:val="24"/>
          <w:szCs w:val="24"/>
        </w:rPr>
        <w:t xml:space="preserve"> 31.12.2026</w:t>
      </w:r>
      <w:ins w:id="0" w:author="zyuzin_ss" w:date="2025-08-21T06:26:07Z" oouserid="zyuzin_ss">
        <w:r>
          <w:rPr>
            <w:bCs/>
            <w:sz w:val="24"/>
            <w:szCs w:val="24"/>
          </w:rPr>
          <w:t xml:space="preserve"> </w:t>
        </w:r>
      </w:ins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</w:pPr>
      <w:r>
        <w:rPr>
          <w:bCs/>
          <w:sz w:val="24"/>
          <w:szCs w:val="24"/>
        </w:rPr>
        <w:t xml:space="preserve">Срок поставки Товара (партии Товара) по Заявке составляет 90 (девяносто) календарных дней с даты получения заявки от </w:t>
      </w:r>
      <w:r>
        <w:rPr>
          <w:bCs/>
          <w:sz w:val="24"/>
          <w:szCs w:val="24"/>
        </w:rPr>
        <w:t xml:space="preserve">Покупателя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/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Цена Договора и порядок </w:t>
      </w:r>
      <w:r>
        <w:rPr>
          <w:b/>
          <w:bCs/>
          <w:sz w:val="24"/>
          <w:szCs w:val="24"/>
          <w:highlight w:val="white"/>
        </w:rPr>
        <w:t xml:space="preserve">расчетов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Це</w:t>
      </w:r>
      <w:r>
        <w:rPr>
          <w:sz w:val="24"/>
          <w:szCs w:val="24"/>
          <w:highlight w:val="white"/>
        </w:rPr>
        <w:t xml:space="preserve">на Договора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является предельной и составляет </w:t>
      </w:r>
      <w:r>
        <w:rPr>
          <w:sz w:val="24"/>
          <w:szCs w:val="24"/>
          <w:highlight w:val="white"/>
        </w:rPr>
        <w:t xml:space="preserve">_______</w:t>
      </w:r>
      <w:r>
        <w:rPr>
          <w:bCs/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_____</w:t>
      </w:r>
      <w:r>
        <w:rPr>
          <w:sz w:val="24"/>
          <w:szCs w:val="24"/>
          <w:highlight w:val="white"/>
        </w:rPr>
        <w:t xml:space="preserve">_____</w:t>
      </w:r>
      <w:r>
        <w:rPr>
          <w:bCs/>
          <w:sz w:val="24"/>
          <w:szCs w:val="24"/>
          <w:highlight w:val="white"/>
        </w:rPr>
        <w:t xml:space="preserve">) рублей </w:t>
      </w:r>
      <w:r>
        <w:rPr>
          <w:sz w:val="24"/>
          <w:szCs w:val="24"/>
          <w:highlight w:val="white"/>
        </w:rPr>
        <w:t xml:space="preserve">___</w:t>
      </w:r>
      <w:r>
        <w:rPr>
          <w:bCs/>
          <w:sz w:val="24"/>
          <w:szCs w:val="24"/>
          <w:highlight w:val="white"/>
        </w:rPr>
        <w:t xml:space="preserve"> копеек</w:t>
      </w:r>
      <w:r>
        <w:rPr>
          <w:bCs/>
          <w:sz w:val="24"/>
          <w:szCs w:val="24"/>
          <w:highlight w:val="white"/>
        </w:rPr>
        <w:t xml:space="preserve">, в том числе </w:t>
      </w:r>
      <w:r>
        <w:rPr>
          <w:bCs/>
          <w:sz w:val="24"/>
          <w:szCs w:val="24"/>
          <w:highlight w:val="white"/>
        </w:rPr>
        <w:t xml:space="preserve">НДС</w:t>
      </w:r>
      <w:r>
        <w:rPr>
          <w:bCs/>
          <w:sz w:val="24"/>
          <w:szCs w:val="24"/>
          <w:highlight w:val="white"/>
        </w:rPr>
        <w:t xml:space="preserve"> (__%) составляет _______ (_________) рублей ___ копеек.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соответствии </w:t>
      </w:r>
      <w:r>
        <w:rPr>
          <w:sz w:val="24"/>
        </w:rPr>
        <w:t xml:space="preserve">с условиями проведенной конкурентной</w:t>
      </w:r>
      <w:r>
        <w:rPr>
          <w:sz w:val="24"/>
        </w:rPr>
        <w:t xml:space="preserve"> </w:t>
      </w:r>
      <w:r>
        <w:rPr>
          <w:sz w:val="24"/>
        </w:rPr>
        <w:t xml:space="preserve">закупочной/ или закупочной</w:t>
      </w:r>
      <w:r>
        <w:rPr>
          <w:sz w:val="24"/>
        </w:rPr>
        <w:t xml:space="preserve"> процедуры</w:t>
      </w:r>
      <w:r>
        <w:rPr>
          <w:sz w:val="24"/>
        </w:rPr>
        <w:t xml:space="preserve"> </w:t>
      </w:r>
      <w:r>
        <w:rPr>
          <w:bCs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Изменение цены</w:t>
      </w:r>
      <w:r>
        <w:rPr>
          <w:sz w:val="24"/>
          <w:szCs w:val="24"/>
        </w:rPr>
        <w:t xml:space="preserve"> 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Оплата по Договору осуществляется Покупателем: </w:t>
      </w:r>
      <w:r>
        <w:rPr>
          <w:sz w:val="24"/>
          <w:szCs w:val="24"/>
        </w:rPr>
        <w:t xml:space="preserve">в размере 100% стоимости поставленной прод</w:t>
      </w:r>
      <w:r>
        <w:rPr>
          <w:sz w:val="24"/>
          <w:szCs w:val="24"/>
        </w:rPr>
        <w:t xml:space="preserve">укции по факту поставки продукции в течение 7 (семи) рабочих дней с даты подписания Покупателем (грузополучателем) товарной накладной по форме ТОРГ-12 (или универсального передаточного документа (далее УПД)) при наличии акта входного контроля.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  <w:highlight w:val="white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Обязательство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Индексация Цены Договора не </w:t>
      </w:r>
      <w:r>
        <w:rPr>
          <w:sz w:val="24"/>
          <w:szCs w:val="24"/>
          <w:highlight w:val="white"/>
        </w:rPr>
        <w:t xml:space="preserve">допускается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обязан представить Покупателю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 (или УПД)</w:t>
      </w:r>
      <w:r>
        <w:rPr>
          <w:sz w:val="24"/>
          <w:szCs w:val="24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/ или УПД</w:t>
      </w:r>
      <w:r>
        <w:rPr>
          <w:sz w:val="24"/>
          <w:szCs w:val="24"/>
          <w:highlight w:val="white"/>
        </w:rPr>
        <w:t xml:space="preserve"> в течение 3 (трех) ра</w:t>
      </w:r>
      <w:r>
        <w:rPr>
          <w:sz w:val="24"/>
          <w:szCs w:val="24"/>
          <w:highlight w:val="white"/>
        </w:rPr>
        <w:t xml:space="preserve">бочих дней с даты получения соответствующего письменного требования Покупателя.</w:t>
      </w:r>
      <w:r>
        <w:rPr>
          <w:rStyle w:val="1113"/>
          <w:sz w:val="24"/>
          <w:szCs w:val="24"/>
          <w:highlight w:val="white"/>
        </w:rPr>
        <w:footnoteReference w:id="2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Поставщик обязан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одписать акты сверки взаимных расчетов, направленные </w:t>
      </w:r>
      <w:r>
        <w:rPr>
          <w:sz w:val="24"/>
          <w:szCs w:val="24"/>
          <w:highlight w:val="white"/>
        </w:rPr>
        <w:t xml:space="preserve">Покупателем</w:t>
      </w:r>
      <w:r>
        <w:rPr>
          <w:sz w:val="24"/>
          <w:szCs w:val="24"/>
          <w:highlight w:val="white"/>
        </w:rPr>
        <w:t xml:space="preserve"> в 2 (двух) экземплярах, и вернуть 1 (один) экземпляр </w:t>
      </w:r>
      <w:r>
        <w:rPr>
          <w:sz w:val="24"/>
          <w:szCs w:val="24"/>
          <w:highlight w:val="white"/>
        </w:rPr>
        <w:t xml:space="preserve">Покупателю</w:t>
      </w:r>
      <w:r>
        <w:rPr>
          <w:sz w:val="24"/>
          <w:szCs w:val="24"/>
          <w:highlight w:val="white"/>
        </w:rPr>
        <w:t xml:space="preserve"> в течение 5 (пя</w:t>
      </w:r>
      <w:r>
        <w:rPr>
          <w:sz w:val="24"/>
          <w:szCs w:val="24"/>
          <w:highlight w:val="white"/>
        </w:rPr>
        <w:t xml:space="preserve">ти) рабочих дней с даты получения экземпляров актов сверки расчетов от </w:t>
      </w:r>
      <w:r>
        <w:rPr>
          <w:sz w:val="24"/>
          <w:szCs w:val="24"/>
          <w:highlight w:val="white"/>
        </w:rPr>
        <w:t xml:space="preserve">Покупателя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</w:r>
      <w:r>
        <w:rPr>
          <w:sz w:val="24"/>
          <w:highlight w:val="white"/>
        </w:rPr>
        <w:t xml:space="preserve">По</w:t>
      </w:r>
      <w:r>
        <w:rPr>
          <w:sz w:val="24"/>
          <w:highlight w:val="white"/>
        </w:rPr>
        <w:t xml:space="preserve">купат</w:t>
      </w:r>
      <w:r>
        <w:rPr>
          <w:sz w:val="24"/>
          <w:highlight w:val="white"/>
        </w:rPr>
        <w:t xml:space="preserve">ель</w:t>
      </w:r>
      <w:r>
        <w:rPr>
          <w:sz w:val="24"/>
          <w:highlight w:val="white"/>
        </w:rPr>
        <w:t xml:space="preserve"> вправе произвест</w:t>
      </w:r>
      <w:r>
        <w:rPr>
          <w:sz w:val="24"/>
          <w:highlight w:val="white"/>
        </w:rPr>
        <w:t xml:space="preserve">и сальдо взаимных обязательств С</w:t>
      </w:r>
      <w:r>
        <w:rPr>
          <w:sz w:val="24"/>
          <w:highlight w:val="white"/>
        </w:rPr>
        <w:t xml:space="preserve">торон путем уменьшения сумм причитающихся </w:t>
      </w:r>
      <w:r>
        <w:rPr>
          <w:sz w:val="24"/>
          <w:highlight w:val="white"/>
        </w:rPr>
        <w:t xml:space="preserve">Поставщику</w:t>
      </w:r>
      <w:r>
        <w:rPr>
          <w:sz w:val="24"/>
          <w:highlight w:val="white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  <w:highlight w:val="white"/>
        </w:rPr>
        <w:t xml:space="preserve"> хозяйственных взаимоотношен</w:t>
      </w:r>
      <w:r>
        <w:rPr>
          <w:sz w:val="24"/>
          <w:highlight w:val="white"/>
        </w:rPr>
        <w:t xml:space="preserve">ий С</w:t>
      </w:r>
      <w:r>
        <w:rPr>
          <w:sz w:val="24"/>
          <w:highlight w:val="white"/>
        </w:rPr>
        <w:t xml:space="preserve">торон, направленных на исполнение Договора, на </w:t>
      </w:r>
      <w:r>
        <w:rPr>
          <w:sz w:val="24"/>
        </w:rPr>
        <w:t xml:space="preserve">суммы задолженности </w:t>
      </w:r>
      <w:r>
        <w:rPr>
          <w:sz w:val="24"/>
        </w:rPr>
        <w:t xml:space="preserve">Поставщика</w:t>
      </w:r>
      <w:r>
        <w:rPr>
          <w:sz w:val="24"/>
        </w:rPr>
        <w:t xml:space="preserve"> перед </w:t>
      </w:r>
      <w:r>
        <w:rPr>
          <w:sz w:val="24"/>
        </w:rPr>
        <w:t xml:space="preserve">Покупателем</w:t>
      </w:r>
      <w:r>
        <w:rPr>
          <w:sz w:val="24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4"/>
        </w:rPr>
        <w:t xml:space="preserve">ммы неустоек (пени, штрафы) за </w:t>
      </w:r>
      <w:r>
        <w:rPr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</w:rPr>
        <w:t xml:space="preserve">работ</w:t>
      </w:r>
      <w:r>
        <w:rPr>
          <w:sz w:val="24"/>
        </w:rPr>
        <w:t xml:space="preserve"> по устранению недостатков </w:t>
      </w:r>
      <w:r>
        <w:rPr>
          <w:sz w:val="24"/>
        </w:rPr>
        <w:t xml:space="preserve">Товара, поставленного Поставщиком.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беспечение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в размере 5 (пяти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процентов от суммы Договора, в соответствие с официально размещенным итоговым протоколом по результатам закупки, с учетом результатов преддоговорных переговоров (в случае проведения таковых), (НДС не облагается) на расчетный счет Покупателя 407 028 102 70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000 088 18, ДАЛЬНЕВОСТОЧНЫЙ БАНК ПАО СБЕРБАНК, БИК 040813608, Кор. счет 301 018 106 000 000 006 08, подлежит возврату Поставщику в течение 70 (семьдесят) календарных дней с даты полного исполнения обязательств по заключенному Договору со стороны Поставщик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неисполнения Поставщиком обязательств по поставке продукции надлежащего качества, в объеме и в сроки, указанные в Договоре, Покупатель вправе удержать из обеспечительного платежа сумму начисленной Поставщику неустойки (пеней и штрафов), установленн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/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том случае, если сумма неустойки (пеней и штрафов) установленных Договором и (или) сумма убытков в связи с ненадлежащим исполнением Поставщиком обязательств по договору не покрывается в полном объеме суммой обеспечительного платежа, то Поставщик обязан оп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латить на р/счет Покупателя разницу, в течении 10-ти дней с момента получения претензии с требованием об оплате.</w:t>
      </w:r>
      <w:r/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/>
    </w:p>
    <w:p>
      <w:pPr>
        <w:ind w:left="0" w:firstLine="0"/>
        <w:jc w:val="both"/>
        <w:shd w:val="clear" w:color="auto" w:fill="ffffff"/>
        <w:widowControl/>
      </w:pPr>
      <w:r>
        <w:rPr>
          <w:rFonts w:ascii="Times New Roman" w:hAnsi="Times New Roman" w:cs="Times New Roman"/>
          <w:sz w:val="24"/>
          <w:szCs w:val="24"/>
          <w:highlight w:val="none"/>
        </w:rPr>
        <w:tab/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выбора Поставщиком обеспечения исполнения обязательств по Договору в виде независимой гарантии,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упке, отвечающую требованиям, ук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азанным в приложениях № 3, №4 по акту передаче по форме приложения №5 настоящему Договору, на сумму : 5 (пять) процентов от суммы Договора, в соответствие с официально размещенным итоговым протоколом по результатам закупки, с учетом результатов преддоговор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ных переговоров (в случае проведения таковых).</w:t>
      </w:r>
      <w:r/>
    </w:p>
    <w:p>
      <w:pPr>
        <w:ind w:left="0" w:firstLine="0"/>
        <w:jc w:val="both"/>
        <w:shd w:val="clear" w:color="auto" w:fill="ffffff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Исполнение Поставщиком обязательств по договору обеспечивается независимой гарантией № ХХХХХХХХ от ХХ.ХХ.ХХХХ года, выданной ХХХ «ХХХХХХХХ».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firstLine="708"/>
        <w:jc w:val="both"/>
        <w:shd w:val="clear" w:color="auto" w:fill="ffffff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2.12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случае непредставления независимой гарантии надлежащего исполнения обязательств по Договору и при отсутствии соглашения сторон об ином, Покупатель вправе удерживать 5 (пять) процентов от стоимости продукции по Договору от каждого платежа, выплачиваемого 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окупателем Поставщику за поставленную продукцию в качестве гарантийного резервирования, при этом в счетах на оплату, выставленных Поставщиком, должна быть отдельно выделена сумма обеспечительного платежа.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Покупатель,   </w:t>
      </w:r>
      <w:r>
        <w:rPr>
          <w:sz w:val="24"/>
          <w:szCs w:val="24"/>
        </w:rPr>
        <w:t xml:space="preserve">в срок не позднее 90 (девяносто) календарных</w:t>
      </w:r>
      <w:r>
        <w:rPr>
          <w:sz w:val="24"/>
          <w:szCs w:val="24"/>
          <w:highlight w:val="white"/>
        </w:rPr>
        <w:t xml:space="preserve"> дн</w:t>
      </w:r>
      <w:r>
        <w:rPr>
          <w:sz w:val="24"/>
          <w:szCs w:val="24"/>
          <w:highlight w:val="white"/>
        </w:rPr>
        <w:t xml:space="preserve">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на адрес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Автоматическое уведомление о получении Поставщиком сообщения электронной почты является достаточным подтверждением о получении заявки от Покупателя.</w:t>
      </w:r>
      <w:r>
        <w:rPr>
          <w:sz w:val="24"/>
          <w:szCs w:val="24"/>
        </w:rPr>
        <w:t xml:space="preserve"> В случае отсутствия подтверждения, заявка считается принятой.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3.1.5.2.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 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</w:t>
      </w:r>
      <w:r>
        <w:rPr>
          <w:bCs/>
          <w:sz w:val="24"/>
          <w:szCs w:val="24"/>
          <w:highlight w:val="white"/>
        </w:rPr>
        <w:t xml:space="preserve">х лиц.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Одновременно с передачей </w:t>
      </w:r>
      <w:r>
        <w:rPr>
          <w:bCs/>
          <w:sz w:val="24"/>
          <w:szCs w:val="24"/>
          <w:highlight w:val="white"/>
        </w:rPr>
        <w:t xml:space="preserve">Товара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Поставщик </w:t>
      </w:r>
      <w:r>
        <w:rPr>
          <w:bCs/>
          <w:sz w:val="24"/>
          <w:szCs w:val="24"/>
          <w:highlight w:val="white"/>
        </w:rPr>
        <w:t xml:space="preserve">обязан передать </w:t>
      </w:r>
      <w:r>
        <w:rPr>
          <w:bCs/>
          <w:sz w:val="24"/>
          <w:szCs w:val="24"/>
          <w:highlight w:val="white"/>
        </w:rPr>
        <w:t xml:space="preserve">Покупателю</w:t>
      </w:r>
      <w:r>
        <w:rPr>
          <w:bCs/>
          <w:sz w:val="24"/>
          <w:szCs w:val="24"/>
          <w:highlight w:val="white"/>
        </w:rPr>
        <w:t xml:space="preserve"> оригиналы следующих относящихся к </w:t>
      </w:r>
      <w:r>
        <w:rPr>
          <w:bCs/>
          <w:sz w:val="24"/>
          <w:szCs w:val="24"/>
          <w:highlight w:val="white"/>
        </w:rPr>
        <w:t xml:space="preserve">Товару</w:t>
      </w:r>
      <w:r>
        <w:rPr>
          <w:bCs/>
          <w:sz w:val="24"/>
          <w:szCs w:val="24"/>
          <w:highlight w:val="white"/>
        </w:rPr>
        <w:t xml:space="preserve"> документов: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 качества в 1 </w:t>
      </w:r>
      <w:r>
        <w:rPr>
          <w:sz w:val="24"/>
          <w:szCs w:val="24"/>
          <w:highlight w:val="white"/>
        </w:rPr>
        <w:t xml:space="preserve">(один)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</w:t>
      </w:r>
      <w:r>
        <w:rPr>
          <w:sz w:val="24"/>
          <w:szCs w:val="24"/>
          <w:highlight w:val="white"/>
        </w:rPr>
        <w:t xml:space="preserve">в 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white"/>
        </w:rPr>
        <w:t xml:space="preserve">Товара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накладная ТОРГ</w:t>
      </w:r>
      <w:r>
        <w:rPr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12/ или УПД в 2х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(двух) экз.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29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_Ref361408474"/>
      <w:r/>
      <w:bookmarkStart w:id="1" w:name="_Ref361408232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/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ТОРГ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highlight w:val="none"/>
        </w:rPr>
        <w:t xml:space="preserve">или УПД, при наличи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Акта входного контроля</w:t>
      </w:r>
      <w:r>
        <w:rPr>
          <w:sz w:val="24"/>
          <w:szCs w:val="24"/>
          <w:highlight w:val="white"/>
        </w:rPr>
        <w:t xml:space="preserve">.</w:t>
      </w:r>
      <w:bookmarkEnd w:id="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 Накладной ТОРГ-12</w:t>
      </w:r>
      <w:r>
        <w:rPr>
          <w:sz w:val="24"/>
          <w:szCs w:val="24"/>
        </w:rPr>
        <w:t xml:space="preserve">/ или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ащаются с истечением срока действия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</w:t>
      </w:r>
      <w:r>
        <w:rPr>
          <w:b/>
          <w:bCs/>
          <w:sz w:val="24"/>
          <w:szCs w:val="24"/>
        </w:rPr>
        <w:t xml:space="preserve">необязателен.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4"/>
          <w:szCs w:val="24"/>
        </w:rPr>
        <w:t xml:space="preserve">рочке поставки Товара по Заявке.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106"/>
        <w:numPr>
          <w:ilvl w:val="1"/>
          <w:numId w:val="1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арантийный срок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Товар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поставленный по Договору, составляет </w:t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менее 12 (двенадцать) календарных месяцев с даты подписания Покупателем (грузополучателем) товарной накладной по форме ТОРГ-12 (или УПД)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более длительный срок не предусмотрен.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Гарантийный срок может быть продлен в соответствии с условиями Договора.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right="0" w:firstLine="709"/>
        <w:jc w:val="both"/>
        <w:tabs>
          <w:tab w:val="clear" w:pos="85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r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r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widowControl/>
        <w:tabs>
          <w:tab w:val="clear" w:pos="858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Поставщиком обязательств по поставке Товара (</w:t>
      </w:r>
      <w:r>
        <w:rPr>
          <w:rFonts w:eastAsia="Calibri"/>
          <w:bCs/>
          <w:sz w:val="24"/>
          <w:szCs w:val="24"/>
        </w:rPr>
        <w:t xml:space="preserve">нарушение срока поставки, недопоставка)</w:t>
      </w:r>
      <w:r>
        <w:rPr>
          <w:sz w:val="24"/>
          <w:szCs w:val="24"/>
        </w:rPr>
        <w:t xml:space="preserve">, в том числе сроков, установленных </w:t>
      </w:r>
      <w:r>
        <w:rPr>
          <w:sz w:val="24"/>
          <w:szCs w:val="24"/>
        </w:rPr>
        <w:t xml:space="preserve">в Заявке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 вправе потребовать уплаты Поставщиком:</w:t>
      </w:r>
      <w:r>
        <w:rPr>
          <w:sz w:val="24"/>
          <w:szCs w:val="24"/>
        </w:rPr>
        <w:t xml:space="preserve"> </w:t>
        <w:tab/>
        <w:tab/>
        <w:tab/>
        <w:tab/>
        <w:tab/>
        <w:tab/>
        <w:tab/>
        <w:tab/>
      </w:r>
      <w:r>
        <w:rPr>
          <w:sz w:val="24"/>
          <w:szCs w:val="24"/>
        </w:rPr>
        <w:t xml:space="preserve">- не</w:t>
      </w:r>
      <w:r>
        <w:rPr>
          <w:sz w:val="24"/>
          <w:szCs w:val="24"/>
        </w:rPr>
        <w:t xml:space="preserve">устойки в размере 0,1 (ноль целых и одна десятая) процента от цены несвоевременно поставленного (не поставленного) Товара за каждый день просрочки – в случае, когда нарушение не привело к изменению срока поставки Товара по другой заявке;</w:t>
        <w:tab/>
        <w:t xml:space="preserve">- неустойки </w:t>
      </w:r>
      <w:r>
        <w:rPr>
          <w:sz w:val="24"/>
          <w:szCs w:val="24"/>
        </w:rPr>
        <w:t xml:space="preserve">в размере 0,2 (ноль целых и две десятых) процента от цены несвоевременно поставленного (не поставленного) Товара за каждый день просрочки – в случае, когда нарушение привело к изменению срока поставки Товара по другой заявке</w:t>
      </w:r>
      <w:r>
        <w:rPr>
          <w:sz w:val="24"/>
          <w:szCs w:val="24"/>
        </w:rPr>
        <w:t xml:space="preserve">. </w:t>
        <w:tab/>
        <w:tab/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несвоевременного устранения Поставщиком выявленных недостатков Товара, Покупатель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
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В случае поступления </w:t>
      </w:r>
      <w:r>
        <w:rPr>
          <w:bCs/>
          <w:sz w:val="24"/>
          <w:szCs w:val="24"/>
        </w:rPr>
        <w:t xml:space="preserve">Товара, </w:t>
      </w:r>
      <w:r>
        <w:rPr>
          <w:bCs/>
          <w:sz w:val="24"/>
          <w:szCs w:val="24"/>
        </w:rPr>
        <w:t xml:space="preserve">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 о стране происхождения </w:t>
      </w:r>
      <w:r>
        <w:rPr>
          <w:bCs/>
          <w:sz w:val="24"/>
          <w:szCs w:val="24"/>
        </w:rPr>
        <w:t xml:space="preserve">Товара,</w:t>
      </w:r>
      <w:r>
        <w:rPr>
          <w:bCs/>
          <w:sz w:val="24"/>
          <w:szCs w:val="24"/>
        </w:rPr>
        <w:t xml:space="preserve"> согласованной в </w:t>
      </w:r>
      <w:r>
        <w:rPr>
          <w:bCs/>
          <w:sz w:val="24"/>
          <w:szCs w:val="24"/>
        </w:rPr>
        <w:t xml:space="preserve">Д</w:t>
      </w:r>
      <w:r>
        <w:rPr>
          <w:bCs/>
          <w:sz w:val="24"/>
          <w:szCs w:val="24"/>
        </w:rPr>
        <w:t xml:space="preserve">оговоре, Покупатель вправе взыскать с Поставщика ш</w:t>
      </w:r>
      <w:r>
        <w:rPr>
          <w:bCs/>
          <w:sz w:val="24"/>
          <w:szCs w:val="24"/>
          <w:highlight w:val="white"/>
        </w:rPr>
        <w:t xml:space="preserve">траф в разме</w:t>
      </w:r>
      <w:r>
        <w:rPr>
          <w:bCs/>
          <w:sz w:val="24"/>
          <w:szCs w:val="24"/>
          <w:highlight w:val="white"/>
        </w:rPr>
        <w:t xml:space="preserve">ре 10% от стоимости поставленного Товара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whit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white"/>
        </w:rPr>
        <w:br/>
      </w:r>
      <w:r>
        <w:rPr>
          <w:bCs/>
          <w:sz w:val="24"/>
          <w:szCs w:val="24"/>
          <w:highlight w:val="white"/>
        </w:rPr>
        <w:t xml:space="preserve">для ко</w:t>
      </w:r>
      <w:r>
        <w:rPr>
          <w:bCs/>
          <w:sz w:val="24"/>
          <w:szCs w:val="24"/>
          <w:highlight w:val="whit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2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, установленных п</w:t>
      </w:r>
      <w:r>
        <w:rPr>
          <w:bCs/>
          <w:sz w:val="24"/>
          <w:szCs w:val="24"/>
          <w:highlight w:val="white"/>
        </w:rPr>
        <w:t xml:space="preserve">унктом </w:t>
      </w:r>
      <w:r>
        <w:rPr>
          <w:bCs/>
          <w:sz w:val="24"/>
          <w:szCs w:val="24"/>
          <w:highlight w:val="white"/>
        </w:rPr>
        <w:t xml:space="preserve">2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8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rStyle w:val="1113"/>
          <w:bCs/>
          <w:sz w:val="24"/>
          <w:szCs w:val="24"/>
          <w:highlight w:val="white"/>
        </w:rPr>
        <w:footnoteReference w:id="3"/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Уплата неустойки и/ или штрафа не освобождает </w:t>
      </w:r>
      <w:r>
        <w:rPr>
          <w:bCs/>
          <w:sz w:val="24"/>
          <w:szCs w:val="24"/>
        </w:rPr>
        <w:t xml:space="preserve">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За непредставление, несвоевременное предоставление независимой гарантий, предусмотренной Договором, в соответствии с приложениями Покупатель вправе потребовать уплаты Поставщиком</w:t>
      </w:r>
      <w:r>
        <w:rPr>
          <w:sz w:val="24"/>
          <w:szCs w:val="24"/>
          <w:highlight w:val="none"/>
        </w:rPr>
        <w:t xml:space="preserve"> неустойки в размере 0,03 (ноль целых и три сотых) процента от цены Договора за каждый день просрочки.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122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 </w:t>
      </w:r>
      <w:r>
        <w:rPr>
          <w:sz w:val="24"/>
          <w:szCs w:val="24"/>
          <w:highlight w:val="lightGray"/>
        </w:rPr>
        <w:t xml:space="preserve">индивидуальным предпринимателем</w:t>
      </w:r>
      <w:r>
        <w:rPr>
          <w:sz w:val="24"/>
          <w:szCs w:val="24"/>
        </w:rPr>
        <w:t xml:space="preserve">, надлежащим образом учрежденным </w:t>
      </w:r>
      <w:r>
        <w:rPr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</w:t>
      </w:r>
      <w:r>
        <w:rPr>
          <w:sz w:val="24"/>
          <w:szCs w:val="24"/>
          <w:highlight w:val="white"/>
        </w:rPr>
        <w:t xml:space="preserve">надлежащего исполнения обязательств, возникающих из Договора </w:t>
      </w:r>
      <w:r>
        <w:rPr>
          <w:sz w:val="24"/>
          <w:szCs w:val="24"/>
          <w:highlight w:val="white"/>
        </w:rPr>
        <w:br/>
        <w:t xml:space="preserve">или в связи с ним.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заявляет и заверяет </w:t>
      </w:r>
      <w:r>
        <w:rPr>
          <w:sz w:val="24"/>
          <w:szCs w:val="24"/>
          <w:highlight w:val="white"/>
        </w:rPr>
        <w:t xml:space="preserve">Покупател</w:t>
      </w:r>
      <w:r>
        <w:rPr>
          <w:sz w:val="24"/>
          <w:szCs w:val="24"/>
          <w:highlight w:val="white"/>
        </w:rPr>
        <w:t xml:space="preserve">я</w:t>
      </w:r>
      <w:r>
        <w:rPr>
          <w:sz w:val="24"/>
          <w:szCs w:val="24"/>
          <w:highlight w:val="white"/>
        </w:rPr>
        <w:t xml:space="preserve"> в том, что на момент заключения Договора: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2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учредителем</w:t>
      </w:r>
      <w:r>
        <w:rPr>
          <w:sz w:val="24"/>
          <w:szCs w:val="24"/>
          <w:highlight w:val="white"/>
        </w:rPr>
        <w:t xml:space="preserve">/ учредителями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являются лица, не я</w:t>
      </w:r>
      <w:r>
        <w:rPr>
          <w:sz w:val="24"/>
          <w:szCs w:val="24"/>
          <w:highlight w:val="white"/>
        </w:rPr>
        <w:t xml:space="preserve">вляющиеся массовыми учредителем</w:t>
      </w:r>
      <w:r>
        <w:rPr>
          <w:sz w:val="24"/>
          <w:szCs w:val="24"/>
          <w:highlight w:val="white"/>
        </w:rPr>
        <w:t xml:space="preserve">/ учредителями;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2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руководителем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2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rStyle w:val="1113"/>
          <w:sz w:val="24"/>
          <w:szCs w:val="24"/>
          <w:highlight w:val="white"/>
        </w:rPr>
        <w:footnoteReference w:id="4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2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своевременно и в полном объеме уплачивает налоги и сборы </w:t>
      </w:r>
      <w:r>
        <w:rPr>
          <w:sz w:val="24"/>
          <w:szCs w:val="24"/>
          <w:highlight w:val="white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2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не находится в процедуре несостоятельности (банкротства) </w:t>
      </w:r>
      <w:r>
        <w:rPr>
          <w:sz w:val="24"/>
          <w:szCs w:val="24"/>
          <w:highlight w:val="white"/>
        </w:rPr>
        <w:br/>
        <w:t xml:space="preserve">в соответстви</w:t>
      </w:r>
      <w:r>
        <w:rPr>
          <w:sz w:val="24"/>
          <w:szCs w:val="24"/>
          <w:highlight w:val="white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</w:t>
      </w:r>
      <w:r>
        <w:rPr>
          <w:sz w:val="24"/>
          <w:szCs w:val="24"/>
        </w:rPr>
        <w:t xml:space="preserve">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102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Стороны установили, что существенным нарушением Договора Поставщиком является: </w:t>
      </w:r>
      <w:r>
        <w:rPr>
          <w:highlight w:val="white"/>
        </w:rPr>
      </w:r>
      <w:r>
        <w:rPr>
          <w:highlight w:val="white"/>
        </w:rPr>
      </w:r>
    </w:p>
    <w:p>
      <w:pPr>
        <w:pStyle w:val="1126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Поставщиком общего срока поставки Товара по Договору, а также  сроков поставки Товара</w:t>
      </w:r>
      <w:r>
        <w:rPr>
          <w:highlight w:val="white"/>
        </w:rPr>
        <w:t xml:space="preserve"> (партий Товара) по заявке, </w:t>
      </w:r>
      <w:r>
        <w:rPr>
          <w:highlight w:val="white"/>
        </w:rPr>
        <w:t xml:space="preserve">более чем на </w:t>
      </w:r>
      <w:r>
        <w:rPr>
          <w:highlight w:val="white"/>
        </w:rPr>
        <w:t xml:space="preserve">60</w:t>
      </w:r>
      <w:r>
        <w:rPr>
          <w:highlight w:val="white"/>
        </w:rPr>
        <w:t xml:space="preserve"> (шестьдесят</w:t>
      </w:r>
      <w:r>
        <w:rPr>
          <w:highlight w:val="white"/>
        </w:rPr>
        <w:t xml:space="preserve">) календарных дней по причинам, не зависящим от Покупателя; </w:t>
      </w:r>
      <w:r>
        <w:rPr>
          <w:highlight w:val="white"/>
        </w:rPr>
      </w:r>
      <w:r>
        <w:rPr>
          <w:highlight w:val="white"/>
        </w:rPr>
      </w:r>
    </w:p>
    <w:p>
      <w:pPr>
        <w:pStyle w:val="1126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rPr>
          <w:highlight w:val="white"/>
        </w:rPr>
        <w:t xml:space="preserve">60 (шестьдесят</w:t>
      </w:r>
      <w:r>
        <w:rPr>
          <w:highlight w:val="white"/>
        </w:rPr>
        <w:t xml:space="preserve">) календарных дней</w:t>
      </w:r>
      <w:r>
        <w:rPr>
          <w:highlight w:val="white"/>
        </w:rPr>
        <w:t xml:space="preserve">,</w:t>
      </w:r>
      <w:r>
        <w:rPr>
          <w:highlight w:val="white"/>
        </w:rPr>
        <w:t xml:space="preserve"> либо такие недостатки (дефекты) являются неустранимыми;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126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highlight w:val="white"/>
        </w:rPr>
      </w:r>
      <w:r>
        <w:rPr>
          <w:highlight w:val="white"/>
        </w:rPr>
      </w:r>
    </w:p>
    <w:p>
      <w:pPr>
        <w:pStyle w:val="1126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white"/>
        </w:rPr>
        <w:t xml:space="preserve">0</w:t>
      </w:r>
      <w:r>
        <w:rPr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126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В случае отказа Покупателя от Договора в случаях, предусмотренных пунктами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2</w:t>
      </w:r>
      <w:r>
        <w:rPr>
          <w:highlight w:val="white"/>
        </w:rPr>
        <w:t xml:space="preserve">,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3</w:t>
      </w:r>
      <w:r>
        <w:rPr>
          <w:highlight w:val="white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1126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126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r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/>
    </w:p>
    <w:p>
      <w:pPr>
        <w:pStyle w:val="1102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30.01.2027 г.,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highlight w:val="white"/>
        </w:rPr>
      </w:r>
      <w:bookmarkStart w:id="39" w:name="_Ref361338019"/>
      <w:r>
        <w:rPr>
          <w:sz w:val="24"/>
          <w:szCs w:val="24"/>
          <w:highlight w:val="white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  <w:highlight w:val="white"/>
        </w:rPr>
        <w:t xml:space="preserve">следующими способами: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2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Заказным почтовым отправлением с уведомлением о вручении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</w:t>
      </w:r>
      <w:r>
        <w:rPr>
          <w:sz w:val="24"/>
          <w:szCs w:val="24"/>
          <w:highlight w:val="white"/>
        </w:rPr>
        <w:t xml:space="preserve">/ почтовому адресу</w:t>
      </w:r>
      <w:r>
        <w:rPr>
          <w:sz w:val="24"/>
          <w:szCs w:val="24"/>
          <w:highlight w:val="white"/>
        </w:rPr>
        <w:t xml:space="preserve">, указанному в разделе 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2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highlight w:val="white"/>
        </w:rPr>
      </w:r>
      <w:bookmarkStart w:id="40" w:name="_Ref361338032"/>
      <w:r>
        <w:rPr>
          <w:highlight w:val="white"/>
        </w:rPr>
      </w:r>
      <w:bookmarkEnd w:id="39"/>
      <w:r>
        <w:rPr>
          <w:bCs/>
          <w:sz w:val="24"/>
          <w:szCs w:val="24"/>
          <w:highlight w:val="white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нахождения/ почтовому адресу</w:t>
      </w:r>
      <w:r>
        <w:rPr>
          <w:sz w:val="24"/>
          <w:szCs w:val="24"/>
          <w:highlight w:val="white"/>
        </w:rPr>
        <w:t xml:space="preserve">, указанному в разделе 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  <w:highlight w:val="white"/>
        </w:rPr>
        <w:t xml:space="preserve">;</w:t>
      </w:r>
      <w:bookmarkEnd w:id="40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2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осредством электронной почты (</w:t>
      </w:r>
      <w:r>
        <w:rPr>
          <w:bCs/>
          <w:sz w:val="24"/>
          <w:szCs w:val="24"/>
          <w:highlight w:val="white"/>
          <w:lang w:val="en-US"/>
        </w:rPr>
        <w:t xml:space="preserve">e</w:t>
      </w:r>
      <w:r>
        <w:rPr>
          <w:bCs/>
          <w:sz w:val="24"/>
          <w:szCs w:val="24"/>
          <w:highlight w:val="white"/>
        </w:rPr>
        <w:t xml:space="preserve">-</w:t>
      </w:r>
      <w:r>
        <w:rPr>
          <w:bCs/>
          <w:sz w:val="24"/>
          <w:szCs w:val="24"/>
          <w:highlight w:val="white"/>
          <w:lang w:val="en-US"/>
        </w:rPr>
        <w:t xml:space="preserve">mail</w:t>
      </w:r>
      <w:r>
        <w:rPr>
          <w:bCs/>
          <w:sz w:val="24"/>
          <w:szCs w:val="24"/>
          <w:highlight w:val="white"/>
        </w:rPr>
        <w:t xml:space="preserve">)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 </w:t>
      </w:r>
      <w:r>
        <w:rPr>
          <w:bCs/>
          <w:sz w:val="24"/>
          <w:szCs w:val="24"/>
          <w:highlight w:val="white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2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Оригиналы документов, направленны</w:t>
      </w:r>
      <w:r>
        <w:rPr>
          <w:bCs/>
          <w:sz w:val="24"/>
          <w:szCs w:val="24"/>
          <w:highlight w:val="white"/>
        </w:rPr>
        <w:t xml:space="preserve">е посредством электронной почты</w:t>
      </w:r>
      <w:r>
        <w:rPr>
          <w:bCs/>
          <w:sz w:val="24"/>
          <w:szCs w:val="24"/>
          <w:highlight w:val="white"/>
        </w:rPr>
        <w:t xml:space="preserve">, должны не </w:t>
      </w:r>
      <w:r>
        <w:rPr>
          <w:bCs/>
          <w:sz w:val="24"/>
          <w:szCs w:val="24"/>
          <w:highlight w:val="white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  <w:highlight w:val="white"/>
        </w:rPr>
        <w:t xml:space="preserve">унктах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.7.1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.7.2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</w:t>
      </w:r>
      <w:r>
        <w:rPr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–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Форма Заявки</w:t>
      </w:r>
      <w:r>
        <w:rPr>
          <w:rFonts w:eastAsia="Calibri"/>
          <w:sz w:val="24"/>
          <w:szCs w:val="24"/>
          <w:lang w:eastAsia="en-US"/>
        </w:rPr>
        <w:t xml:space="preserve"> на поставку Товара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3 - </w:t>
      </w:r>
      <w:r>
        <w:rPr>
          <w:rFonts w:ascii="Times New Roman" w:hAnsi="Times New Roman" w:cs="Times New Roman"/>
          <w:sz w:val="24"/>
          <w:szCs w:val="24"/>
        </w:rPr>
        <w:t xml:space="preserve">Условия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4 - </w:t>
      </w:r>
      <w:r>
        <w:rPr>
          <w:rFonts w:ascii="Times New Roman" w:hAnsi="Times New Roman" w:cs="Times New Roman"/>
          <w:sz w:val="24"/>
          <w:szCs w:val="24"/>
        </w:rPr>
        <w:t xml:space="preserve">Критерии отбора Банков-Гарантов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5 - </w:t>
      </w:r>
      <w:r>
        <w:rPr>
          <w:rFonts w:ascii="Times New Roman" w:hAnsi="Times New Roman" w:cs="Times New Roman"/>
          <w:sz w:val="24"/>
          <w:szCs w:val="24"/>
        </w:rPr>
        <w:t xml:space="preserve">Форма акта приемки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102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bfbfbf"/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</w:t>
            </w:r>
            <w:r>
              <w:rPr>
                <w:b/>
                <w:sz w:val="24"/>
                <w:szCs w:val="24"/>
                <w:highlight w:val="white"/>
              </w:rPr>
              <w:t xml:space="preserve">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white"/>
              </w:rPr>
              <w:t xml:space="preserve">, 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</w:t>
            </w: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Хабаров</w:t>
            </w:r>
            <w:r>
              <w:rPr>
                <w:sz w:val="24"/>
                <w:szCs w:val="24"/>
                <w:highlight w:val="white"/>
              </w:rPr>
              <w:t xml:space="preserve">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, ул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Фрунзе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д.49.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</w:t>
            </w:r>
            <w:r>
              <w:rPr>
                <w:sz w:val="24"/>
                <w:szCs w:val="24"/>
                <w:highlight w:val="white"/>
              </w:rPr>
              <w:t xml:space="preserve">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auto" w:fill="bfbfbf"/>
            <w:tcW w:w="485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</w:t>
            </w:r>
            <w:r>
              <w:rPr>
                <w:highlight w:val="white"/>
              </w:rPr>
              <w:t xml:space="preserve">сокращенное </w:t>
            </w:r>
            <w:r>
              <w:rPr>
                <w:highlight w:val="white"/>
              </w:rPr>
              <w:t xml:space="preserve">наименование юридического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</w:t>
            </w:r>
            <w:r>
              <w:rPr>
                <w:sz w:val="24"/>
                <w:szCs w:val="24"/>
                <w:highlight w:val="white"/>
              </w:rPr>
              <w:t xml:space="preserve">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851" w:right="851" w:bottom="851" w:left="1418" w:header="567" w:footer="56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991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118"/>
        <w:gridCol w:w="1150"/>
        <w:gridCol w:w="993"/>
        <w:gridCol w:w="1275"/>
        <w:gridCol w:w="1060"/>
        <w:gridCol w:w="925"/>
        <w:gridCol w:w="2552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highlight w:val="lightGray"/>
              </w:rPr>
              <w:t xml:space="preserve">Страна происхождения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rPr>
          <w:i/>
          <w:sz w:val="24"/>
          <w:szCs w:val="24"/>
          <w:highlight w:val="yellow"/>
        </w:rPr>
      </w:pP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auto" w:fill="auto"/>
            <w:tcW w:w="4996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991"/>
        <w:gridCol w:w="1134"/>
        <w:gridCol w:w="710"/>
        <w:gridCol w:w="1078"/>
        <w:gridCol w:w="1188"/>
        <w:gridCol w:w="993"/>
        <w:gridCol w:w="1419"/>
        <w:gridCol w:w="851"/>
        <w:gridCol w:w="850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Стоимость, в том числе НДС,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Дата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10"/>
            <w:tcBorders>
              <w:left w:val="single" w:color="auto" w:sz="4" w:space="0"/>
              <w:right w:val="single" w:color="auto" w:sz="4" w:space="0"/>
            </w:tcBorders>
            <w:tcW w:w="9751" w:type="dxa"/>
            <w:vAlign w:val="center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Итого</w:t>
            </w:r>
            <w:r>
              <w:rPr>
                <w:color w:val="000000"/>
                <w:sz w:val="24"/>
                <w:szCs w:val="24"/>
              </w:rPr>
              <w:t xml:space="preserve">: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auto"/>
        <w:rPr>
          <w:sz w:val="24"/>
          <w:szCs w:val="24"/>
        </w:rPr>
        <w:pPrChange w:id="1" w:author="mezentceva_as" w:date="2025-07-15T03:41:06Z" oouserid="mezentceva_as">
          <w:pPr>
            <w:widowControl/>
          </w:pPr>
        </w:pPrChange>
      </w:pPr>
      <w:ins w:id="2" w:author="mezentceva_as" w:date="2025-07-15T03:41:06Z" oouserid="mezentceva_as">
        <w:r>
          <w:rPr>
            <w:sz w:val="24"/>
            <w:szCs w:val="24"/>
          </w:rPr>
          <w:br w:type="page" w:clear="all"/>
        </w:r>
      </w:ins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righ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widowControl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  <w:t xml:space="preserve">Условия независимой гарантии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Условия независимой гарантии, предоставляемой в качестве обеспечения исполнения договора, заключаемого с МСП при осуществлении закупки товаров, работ, услуг в электронной форме с участием МСП (далее – Независимая гарантия):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не может быть отозвана выдавшим ее гарантом;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бене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фициар по Независимой гарантии – Покупатель, принципал – Поставщик</w:t>
      </w:r>
      <w:r>
        <w:rPr>
          <w:rFonts w:ascii="Times New Roman" w:hAnsi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сумма Независимой гарантии выражена в валюте расчетов по Договору;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сумма Независимой гарантии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надлежащего исполнения обязательств по Договору должна составлять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 (пять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процентов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суммы Договора, в соответствие с официально размещенным итоговым протоколом по результатам закупки, с учетом результатов преддоговорных переговоров (в случае проведения таковых).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(НДС не облагается)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срок окончания Независимой гарантии надлежащего испол</w:t>
      </w:r>
      <w:r>
        <w:rPr>
          <w:rFonts w:ascii="Times New Roman" w:hAnsi="Times New Roman" w:cs="Times New Roman"/>
          <w:bCs/>
          <w:sz w:val="24"/>
          <w:szCs w:val="24"/>
        </w:rPr>
        <w:t xml:space="preserve">нения обязательств по Договору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не ранее 70 (семидесяти) календарных дней после наступления даты, в которую заканчивается срок исполнения обязательств по Договору в целом / соответствующему объ</w:t>
      </w:r>
      <w:r>
        <w:rPr>
          <w:rFonts w:ascii="Times New Roman" w:hAnsi="Times New Roman" w:cs="Times New Roman"/>
          <w:bCs/>
          <w:sz w:val="24"/>
          <w:szCs w:val="24"/>
        </w:rPr>
        <w:t xml:space="preserve">екту, предусмотренной Договором.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должна быть составлена по тип</w:t>
      </w:r>
      <w:r>
        <w:rPr>
          <w:rFonts w:ascii="Times New Roman" w:hAnsi="Times New Roman" w:cs="Times New Roman"/>
          <w:bCs/>
          <w:sz w:val="24"/>
          <w:szCs w:val="24"/>
        </w:rPr>
        <w:t xml:space="preserve">овой форме согласно приложению 3</w:t>
      </w:r>
      <w:r>
        <w:rPr>
          <w:rFonts w:ascii="Times New Roman" w:hAnsi="Times New Roman" w:cs="Times New Roman"/>
          <w:bCs/>
          <w:sz w:val="24"/>
          <w:szCs w:val="24"/>
        </w:rPr>
        <w:t xml:space="preserve"> (приложение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3</w:t>
      </w:r>
      <w:r>
        <w:rPr>
          <w:rFonts w:ascii="Times New Roman" w:hAnsi="Times New Roman" w:cs="Times New Roman"/>
          <w:bCs/>
          <w:sz w:val="24"/>
          <w:szCs w:val="24"/>
        </w:rPr>
        <w:t xml:space="preserve">.1 к настоящему Договору</w:t>
      </w:r>
      <w:r>
        <w:rPr>
          <w:rFonts w:ascii="Times New Roman" w:hAnsi="Times New Roman" w:cs="Times New Roman"/>
          <w:bCs/>
          <w:sz w:val="24"/>
          <w:szCs w:val="24"/>
        </w:rPr>
        <w:t xml:space="preserve">) к Положению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</w:t>
      </w:r>
      <w:r>
        <w:rPr>
          <w:rFonts w:ascii="Times New Roman" w:hAnsi="Times New Roman" w:cs="Times New Roman"/>
          <w:bCs/>
          <w:sz w:val="24"/>
          <w:szCs w:val="24"/>
        </w:rPr>
        <w:t xml:space="preserve">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Федерации», утвержденному Постановлением Правительства Российской Федерации от 09.08.2</w:t>
      </w:r>
      <w:r>
        <w:rPr>
          <w:rFonts w:ascii="Times New Roman" w:hAnsi="Times New Roman" w:cs="Times New Roman"/>
          <w:bCs/>
          <w:sz w:val="24"/>
          <w:szCs w:val="24"/>
        </w:rPr>
        <w:t xml:space="preserve">022 № 1397 (далее – Положение), на условиях, определенных гражданским законодательством, Федеральным законом от 18.07.2011 № 223-ФЗ «О закупках товаров, работ, услуг отдельными видами юридических лиц» и настоящими условиями, содержать следующие требования: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(подрядчиком, исполнителем) обеспеченных ею обязательств составленное по форме согласно приложению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4 (приложение 3</w:t>
      </w:r>
      <w:r>
        <w:rPr>
          <w:rFonts w:ascii="Times New Roman" w:hAnsi="Times New Roman" w:cs="Times New Roman"/>
          <w:bCs/>
          <w:sz w:val="24"/>
          <w:szCs w:val="24"/>
        </w:rPr>
        <w:t xml:space="preserve">.2 к настоящему Договору</w:t>
      </w:r>
      <w:r>
        <w:rPr>
          <w:rFonts w:ascii="Times New Roman" w:hAnsi="Times New Roman" w:cs="Times New Roman"/>
          <w:bCs/>
          <w:sz w:val="24"/>
          <w:szCs w:val="24"/>
        </w:rPr>
        <w:t xml:space="preserve">) к Положению требование об уплате денежной суммы по Независимой гарантии в размере цены Договора, уменьшенной на сумму, пропорциональную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объему исполненных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обязательств, которые предусмотрены Договором и в отношении которых бенефициаром осуществлена приемка, но не превышающей размер обеспечения исполнения Договора (сумму Независимой гарантии);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условие о праве бенефициара направля</w:t>
      </w:r>
      <w:r>
        <w:rPr>
          <w:rFonts w:ascii="Times New Roman" w:hAnsi="Times New Roman" w:cs="Times New Roman"/>
          <w:bCs/>
          <w:sz w:val="24"/>
          <w:szCs w:val="24"/>
        </w:rPr>
        <w:t xml:space="preserve">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Выбор формы направления такого требования осуществляется бенефициаром самостоятельно.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расчет суммы, включаемой в требование об уплате денежной суммы по Независимой гарантии;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документ, содержащий указание на нарушения принципалом обязательств, предусмотренных Договором;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документ, подтверждающий полномочия лица, подписавшего требование об</w:t>
      </w:r>
      <w:r>
        <w:rPr>
          <w:rFonts w:ascii="Times New Roman" w:hAnsi="Times New Roman" w:cs="Times New Roman"/>
          <w:bCs/>
          <w:sz w:val="24"/>
          <w:szCs w:val="24"/>
        </w:rPr>
        <w:t xml:space="preserve">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Если копия документа заверена лицом, не ука</w:t>
      </w:r>
      <w:r>
        <w:rPr>
          <w:rFonts w:ascii="Times New Roman" w:hAnsi="Times New Roman" w:cs="Times New Roman"/>
          <w:bCs/>
          <w:sz w:val="24"/>
          <w:szCs w:val="24"/>
        </w:rPr>
        <w:t xml:space="preserve">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требования об уплате денежной суммы по Независимой гарантии в форме элек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Требование об уплате денежной суммы по Независимой гарантии надлежащего исполнения обязательств по Договору может содержать указание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существо допущенных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нарушений, в том числе в случаях: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-отказа Поставщика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исполнения обязательств по Договору, в том числе одностороннего отказа от Договора;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-нарушения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сроков поставки, установленных </w:t>
      </w:r>
      <w:r>
        <w:rPr>
          <w:rFonts w:ascii="Times New Roman" w:hAnsi="Times New Roman" w:cs="Times New Roman"/>
          <w:bCs/>
          <w:sz w:val="24"/>
          <w:szCs w:val="24"/>
        </w:rPr>
        <w:t xml:space="preserve">в п.3.2.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, более чем на 60 (шестьдесят) календарных дней;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-утраты Покупателем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специальных разрешений (в том числе отзыв, прекращение (приостановление) действие допусков, разрешений) и / или лицен</w:t>
      </w:r>
      <w:r>
        <w:rPr>
          <w:rFonts w:ascii="Times New Roman" w:hAnsi="Times New Roman" w:cs="Times New Roman"/>
          <w:bCs/>
          <w:sz w:val="24"/>
          <w:szCs w:val="24"/>
        </w:rPr>
        <w:t xml:space="preserve">зий, предоставляющих Покупателю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возможность надлежащего исполнения обязательств по Договору;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введения арбитражным судом процедуры несостоятельности (банк</w:t>
      </w:r>
      <w:r>
        <w:rPr>
          <w:rFonts w:ascii="Times New Roman" w:hAnsi="Times New Roman" w:cs="Times New Roman"/>
          <w:bCs/>
          <w:sz w:val="24"/>
          <w:szCs w:val="24"/>
        </w:rPr>
        <w:t xml:space="preserve">ротства) в отношении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установления в ходе исполнения Договора ф</w:t>
      </w:r>
      <w:r>
        <w:rPr>
          <w:rFonts w:ascii="Times New Roman" w:hAnsi="Times New Roman" w:cs="Times New Roman"/>
          <w:bCs/>
          <w:sz w:val="24"/>
          <w:szCs w:val="24"/>
        </w:rPr>
        <w:t xml:space="preserve">актов несоответствия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</w:t>
      </w:r>
      <w:r>
        <w:rPr>
          <w:rFonts w:ascii="Times New Roman" w:hAnsi="Times New Roman" w:cs="Times New Roman"/>
          <w:bCs/>
          <w:sz w:val="24"/>
          <w:szCs w:val="24"/>
        </w:rPr>
        <w:t xml:space="preserve"> неполноты заверений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 обстоятельствах, указанных в Договоре, и имеющих существенное значение для его заключения и исполнения;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признания Договора недействительным по причинам отсутствия необходимы</w:t>
      </w:r>
      <w:r>
        <w:rPr>
          <w:rFonts w:ascii="Times New Roman" w:hAnsi="Times New Roman" w:cs="Times New Roman"/>
          <w:bCs/>
          <w:sz w:val="24"/>
          <w:szCs w:val="24"/>
        </w:rPr>
        <w:t xml:space="preserve">х корпоративных одобрений у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-непредоставления Покупателем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срок не позднее 30 (тридцати)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случаях, если срок исп</w:t>
      </w:r>
      <w:r>
        <w:rPr>
          <w:rFonts w:ascii="Times New Roman" w:hAnsi="Times New Roman" w:cs="Times New Roman"/>
          <w:bCs/>
          <w:sz w:val="24"/>
          <w:szCs w:val="24"/>
        </w:rPr>
        <w:t xml:space="preserve">олнения обязательств Покупателя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Договору превышает срок действия Независимой гарантии либо срок исполнения обязательств продлен.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текст Независимой гарантии должен содержать перечень Документов к требованию.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условие об обязанности гаранта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д) условие о праве бенефициара передавать право требования по Независимой гарантии в случае перемены покупателя (заказчика) по Договору при осуществлении закупки с предварительным извещением об этом гаранта;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е) условие о том, что расходы, возникающие в связи с перечислением гарантом денежных средств по Независимой гарантии, несет гарант;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ж) условие о том, что исключение банка (если Независимая гарантия выдана банком) из перечн</w:t>
      </w:r>
      <w:r>
        <w:rPr>
          <w:rFonts w:ascii="Times New Roman" w:hAnsi="Times New Roman" w:cs="Times New Roman"/>
          <w:bCs/>
          <w:sz w:val="24"/>
          <w:szCs w:val="24"/>
        </w:rPr>
        <w:t xml:space="preserve">я, предусмотренного частью 1.2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поручительств), являющегося участником национальной гарантийной системы поддержки малого и среднего предпринимательства, предусмотренного Федера</w:t>
      </w:r>
      <w:r>
        <w:rPr>
          <w:rFonts w:ascii="Times New Roman" w:hAnsi="Times New Roman" w:cs="Times New Roman"/>
          <w:bCs/>
          <w:sz w:val="24"/>
          <w:szCs w:val="24"/>
        </w:rPr>
        <w:t xml:space="preserve">льным законом от 24.07.2007 № 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 Федерального закона от 05.04.2013 № 44-ФЗ «О к</w:t>
      </w:r>
      <w:r>
        <w:rPr>
          <w:rFonts w:ascii="Times New Roman" w:hAnsi="Times New Roman" w:cs="Times New Roman"/>
          <w:bCs/>
          <w:sz w:val="24"/>
          <w:szCs w:val="24"/>
        </w:rPr>
        <w:t xml:space="preserve">онтрактной системе в сфере закупок товаров, работ, услуг для обеспечения государственных и муниципальных нужд», не прекращает действия Независимой гарантии и не освобождает гаранта от ответственности за неисполнение либо ненадлежащее исполнение ее условий;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з) условие о рассмотрении споров, возникающих в связи с исполнением обязательств по Независимой гарантии, в Арбитражном суде Хабаровского края;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и) условие, согласно которому исполнением обязательств гаранта по Независимой гарантии является факти</w:t>
      </w:r>
      <w:r>
        <w:rPr>
          <w:rFonts w:ascii="Times New Roman" w:hAnsi="Times New Roman" w:cs="Times New Roman"/>
          <w:bCs/>
          <w:sz w:val="24"/>
          <w:szCs w:val="24"/>
        </w:rPr>
        <w:t xml:space="preserve">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 об уплате денежной суммы по Независимой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к) условие, содержащее обязанность гаранта уплатить бенефициару денежную сумму по Независимой гарантии в размере, указанном в требовании, не позднее 10 (десяти) раб</w:t>
      </w:r>
      <w:r>
        <w:rPr>
          <w:rFonts w:ascii="Times New Roman" w:hAnsi="Times New Roman" w:cs="Times New Roman"/>
          <w:bCs/>
          <w:sz w:val="24"/>
          <w:szCs w:val="24"/>
        </w:rPr>
        <w:t xml:space="preserve">очих дней со дня, следующего за днем получения гарантом требования бенефициара,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не должна содержать условия: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предусматривающие или влекущие представление бенефициаром гаранту, в том числе одновременно с требованием об уплате денежной суммы по Независимой гарантии, документов, не предусмотренных условиями Независимой гарантии и п. 9 Положения;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бенефициаром) гаранту уведомления о нарушении Контрагентом условий договора или о расторжении договора;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допускающие или влекущие взимание гарантом с бенефициара платы за представление бенефициаром гаранту требования об уплате денежной суммы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Независимой гарантии, направленного в форме электронного документа, или влекущие необходимость использования бенефициаром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о предоставлении бенефициаром гаранту судебных актов, подтверждающих неисполнение участником закупки обязательств, обеспечиваемых Независимой гарантией.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может быть принята от </w:t>
      </w:r>
      <w:r>
        <w:rPr>
          <w:rFonts w:ascii="Times New Roman" w:hAnsi="Times New Roman" w:cs="Times New Roman"/>
          <w:bCs/>
          <w:sz w:val="24"/>
          <w:szCs w:val="24"/>
        </w:rPr>
        <w:t xml:space="preserve">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Федеральный закон № 44-ФЗ):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1) банками, соответствующими требованиям, установленным Правительством Российской Федерации, и включенными в перечень, предусмотренный частью 1.2. статьи 45 Федерального закона № 44-ФЗ.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(https://minfin.gov.ru/ru/perfomance/contracts/list_banks/);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2) государственной корпорацией развития "ВЭБ.РФ";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3) 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 Федеральным законом от 24 июля 2007 год</w:t>
      </w:r>
      <w:r>
        <w:rPr>
          <w:rFonts w:ascii="Times New Roman" w:hAnsi="Times New Roman" w:cs="Times New Roman"/>
          <w:bCs/>
          <w:sz w:val="24"/>
          <w:szCs w:val="24"/>
        </w:rPr>
        <w:t xml:space="preserve">а N 209-ФЗ "О развитии малого и среднего предпринимательства в Российской Федерации", соответствующими требованиям, установленным Правительством Российской Федерации, и включенными в перечень, предусмотренный частью 1.7. статьи 45 Федерального закона № 44-</w:t>
      </w:r>
      <w:r>
        <w:rPr>
          <w:rFonts w:ascii="Times New Roman" w:hAnsi="Times New Roman" w:cs="Times New Roman"/>
          <w:bCs/>
          <w:sz w:val="24"/>
          <w:szCs w:val="24"/>
        </w:rPr>
        <w:t xml:space="preserve">ФЗ (при осуществлении закупок в соответствии с пунктом 1 части 1 статьи 30 настоящего Федерального закона).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(https://minfin.gov.ru/ru/perfomance/contracts/list_org/);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4) Евразийским банком развития (если участник закупки является юридическим лицом, зареги</w:t>
      </w:r>
      <w:r>
        <w:rPr>
          <w:rFonts w:ascii="Times New Roman" w:hAnsi="Times New Roman" w:cs="Times New Roman"/>
          <w:bCs/>
          <w:sz w:val="24"/>
          <w:szCs w:val="24"/>
        </w:rP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Гарант в случае просрочки испол</w:t>
      </w:r>
      <w:r>
        <w:rPr>
          <w:rFonts w:ascii="Times New Roman" w:hAnsi="Times New Roman" w:cs="Times New Roman"/>
          <w:bCs/>
          <w:sz w:val="24"/>
          <w:szCs w:val="24"/>
        </w:rPr>
        <w:t xml:space="preserve">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действия, обязан за каждый день просрочки (начиная со дня, следующ</w:t>
      </w:r>
      <w:r>
        <w:rPr>
          <w:rFonts w:ascii="Times New Roman" w:hAnsi="Times New Roman" w:cs="Times New Roman"/>
          <w:bCs/>
          <w:sz w:val="24"/>
          <w:szCs w:val="24"/>
        </w:rPr>
        <w:t xml:space="preserve">его за днем истечения установленного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Независимой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Несоответствие Независимой гарант</w:t>
      </w:r>
      <w:r>
        <w:rPr>
          <w:rFonts w:ascii="Times New Roman" w:hAnsi="Times New Roman" w:cs="Times New Roman"/>
          <w:bCs/>
          <w:sz w:val="24"/>
          <w:szCs w:val="24"/>
        </w:rPr>
        <w:t xml:space="preserve">ии, предоставленной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, вышеперечисленным требованиям, является основанием для отказа в принятии е</w:t>
      </w:r>
      <w:r>
        <w:rPr>
          <w:rFonts w:ascii="Times New Roman" w:hAnsi="Times New Roman" w:cs="Times New Roman"/>
          <w:bCs/>
          <w:sz w:val="24"/>
          <w:szCs w:val="24"/>
        </w:rPr>
        <w:t xml:space="preserve">е бенефициаром (Покупателем</w:t>
      </w:r>
      <w:r>
        <w:rPr>
          <w:rFonts w:ascii="Times New Roman" w:hAnsi="Times New Roman" w:cs="Times New Roman"/>
          <w:bCs/>
          <w:sz w:val="24"/>
          <w:szCs w:val="24"/>
        </w:rPr>
        <w:t xml:space="preserve">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709"/>
        <w:jc w:val="both"/>
        <w:widowControl/>
        <w:tabs>
          <w:tab w:val="left" w:pos="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lef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hd w:val="nil" w:color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 w:clear="all"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Критерии отбора Банков – Гарантов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pacing w:line="247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Банк-Гарант (кредитная организация), выдающий банковскую гарантию, </w:t>
      </w:r>
      <w:r>
        <w:rPr>
          <w:sz w:val="24"/>
          <w:szCs w:val="24"/>
        </w:rPr>
        <w:t xml:space="preserve">должен входить в перечень Банков-Гарантов Группы РусГидро</w:t>
      </w:r>
      <w:r>
        <w:rPr>
          <w:rStyle w:val="1113"/>
          <w:sz w:val="24"/>
          <w:szCs w:val="24"/>
        </w:rPr>
        <w:footnoteReference w:id="5"/>
      </w:r>
      <w:r>
        <w:rPr>
          <w:sz w:val="24"/>
          <w:szCs w:val="24"/>
        </w:rPr>
        <w:t xml:space="preserve">, а также соответствовать следующим критериям: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действующую лицензию Центрального банка Российской Федерации (далее – ЦБ РФ), разрешающую выдачу банковских гарантий. При этом лицензия не должна</w:t>
      </w:r>
      <w:r>
        <w:rPr>
          <w:sz w:val="24"/>
          <w:szCs w:val="24"/>
        </w:rPr>
        <w:t xml:space="preserve"> быть приостановлена полностью или частично.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Присутствовать в Перечне кредитных организаций, соответствующих требованиям, установленным ч. 1 ст. 2 Федерального закона от 21.07.2014 № 213-ФЗ «Об открытии банковских счетов и аккредитивов, о заключении догово</w:t>
      </w:r>
      <w:r>
        <w:rPr>
          <w:sz w:val="24"/>
          <w:szCs w:val="24"/>
        </w:rPr>
        <w:t xml:space="preserve">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</w:t>
      </w:r>
      <w:r>
        <w:rPr>
          <w:sz w:val="24"/>
          <w:szCs w:val="24"/>
        </w:rPr>
        <w:t xml:space="preserve">ые акты Российской Федерации» (далее – 213-ФЗ) или иным документом, его заменяющим (в случае отмены 213-ФЗ).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собственные средства (капитал) в размере не менее 30 млрд. рублей на 01 января текущего календарного года, опубликованного на официальном сайте ЦБ РФ в информационно-телекоммуникационной сети «Интернет» (www.cbr.ru) по строке 000 «Расчет собственных </w:t>
      </w:r>
      <w:r>
        <w:rPr>
          <w:sz w:val="24"/>
          <w:szCs w:val="24"/>
        </w:rPr>
        <w:t xml:space="preserve">средств (капитала) («Базель III»)», код формы 0409123 и рассчитанного в соответствии с Положением Банка России от 04.07.2018 № 646-П «О методике определения собственных средств (капитала) кредитных организаций («Базель III»)» (далее – Методика ЦБ РФ) или и</w:t>
      </w:r>
      <w:r>
        <w:rPr>
          <w:sz w:val="24"/>
          <w:szCs w:val="24"/>
        </w:rPr>
        <w:t xml:space="preserve">ным документом, его заменяющим (в случае изменения или отмены указанного Положения).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кредитный рейтинг по национальной шкале не ниже уровня «BBB» рейтингового агентства АКРА или не ниже уровня «ruBBB» рейтингового агентства Эксперт РА. В случае отсут</w:t>
      </w:r>
      <w:r>
        <w:rPr>
          <w:sz w:val="24"/>
          <w:szCs w:val="24"/>
        </w:rPr>
        <w:t xml:space="preserve">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«Fitch-Ratings» или «Standard &amp; Poor's» либо уровня «Bа2» по кл</w:t>
      </w:r>
      <w:r>
        <w:rPr>
          <w:sz w:val="24"/>
          <w:szCs w:val="24"/>
        </w:rPr>
        <w:t xml:space="preserve">ассификации рейтингового агентства «Moody's Investors Service»</w:t>
      </w:r>
      <w:r>
        <w:rPr>
          <w:rStyle w:val="1113"/>
          <w:sz w:val="24"/>
          <w:szCs w:val="24"/>
        </w:rPr>
        <w:footnoteReference w:id="6"/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Участвовать в системе обязательного страхования вкладов в банках Российской Федерации в соответствии с Федеральным законом от 23.12.2003 № 177-ФЗ «О страховании вкладов в банках Российской Ф</w:t>
      </w:r>
      <w:r>
        <w:rPr>
          <w:sz w:val="24"/>
          <w:szCs w:val="24"/>
        </w:rPr>
        <w:t xml:space="preserve">едерации»</w:t>
      </w:r>
      <w:r>
        <w:rPr>
          <w:rStyle w:val="1113"/>
          <w:sz w:val="24"/>
          <w:szCs w:val="24"/>
        </w:rPr>
        <w:footnoteReference w:id="7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находиться в процессе финансового оздоровления (санации), а также в Реестре банков, находящихся в процессе финансового оздоровления (опубликован в разделе «Оздоровление банков» сайта Государственной корпорации «Агентство по страхованию вклад</w:t>
      </w:r>
      <w:r>
        <w:rPr>
          <w:sz w:val="24"/>
          <w:szCs w:val="24"/>
        </w:rPr>
        <w:t xml:space="preserve">ов» (http://www.asv.org.ru))».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иметь просроченную задолженность перед Обществом и компаниями Группы РусГидро.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Присутствовать (иметь отделение, филиал) по месту нахождения Общества, его обособленного подразделения или структурного подразделения, для нужд</w:t>
      </w:r>
      <w:r>
        <w:rPr>
          <w:sz w:val="24"/>
          <w:szCs w:val="24"/>
        </w:rPr>
        <w:t xml:space="preserve"> которого заключается Договор.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Требования, установленные пунктами 2 – 4 настоящих Критериев, не распространяются на кредитные организации: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 отношении которых или в отношении лиц, под контролем либо значительным влиянием которых находятся кредитные органи</w:t>
      </w:r>
      <w:r>
        <w:rPr>
          <w:sz w:val="24"/>
          <w:szCs w:val="24"/>
        </w:rPr>
        <w:t xml:space="preserve">зации, по состоянию на 01.01.2015 действуют международные санкции, и кредитные организации определены отдельным решением Правительства Российской Федерации в качестве уполномоченной кредитной организации, в которой могут размещаться средства федерального б</w:t>
      </w:r>
      <w:r>
        <w:rPr>
          <w:sz w:val="24"/>
          <w:szCs w:val="24"/>
        </w:rPr>
        <w:t xml:space="preserve">юджета на банковских депозитах в соответствии с постановлением Правительства Российской Федерации от 24.12.2011 № 1121 «О порядке размещения средств федерального бюджета, средств единого казначейского счета и резерва средств на осуществление обязательного </w:t>
      </w:r>
      <w:r>
        <w:rPr>
          <w:sz w:val="24"/>
          <w:szCs w:val="24"/>
        </w:rPr>
        <w:t xml:space="preserve">социального страхования от несчастных случаев на производстве и профессиональных заболеваний на банковских депозитах».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Основной целью деятельности которых является реализация программ поддержки малого и среднего предпринимательства в соответствии с Федера</w:t>
      </w:r>
      <w:r>
        <w:rPr>
          <w:sz w:val="24"/>
          <w:szCs w:val="24"/>
        </w:rPr>
        <w:t xml:space="preserve">льным законом от 24.07.2007 № 209-ФЗ «О развитии малого и среднего предпринимательства в Российской Федерации» и Указом Президента Российской Федерации от 05.06.2015 № 287 «О мерах по дальнейшему развитию малого и среднего предпринимательства».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Утвержденн</w:t>
      </w:r>
      <w:r>
        <w:rPr>
          <w:sz w:val="24"/>
          <w:szCs w:val="24"/>
        </w:rPr>
        <w:t xml:space="preserve">ую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в качестве уполномоченной кредитной организации, ответственной за проведение ра</w:t>
      </w:r>
      <w:r>
        <w:rPr>
          <w:sz w:val="24"/>
          <w:szCs w:val="24"/>
        </w:rPr>
        <w:t xml:space="preserve">счетов между субъектами ОРЭМ.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ВЭБ.РФ.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3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РусГидро, не должна превышать размер лимита риска, оп</w:t>
      </w:r>
      <w:r>
        <w:rPr>
          <w:sz w:val="24"/>
          <w:szCs w:val="24"/>
        </w:rPr>
        <w:t xml:space="preserve">ределяемого по формуле: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line="247" w:lineRule="auto"/>
        <w:tabs>
          <w:tab w:val="left" w:pos="1134" w:leader="none"/>
        </w:tabs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Lim</w:t>
      </w:r>
      <w:r>
        <w:rPr>
          <w:b/>
          <w:i/>
          <w:sz w:val="24"/>
          <w:szCs w:val="24"/>
          <w:vertAlign w:val="subscript"/>
        </w:rPr>
        <w:t xml:space="preserve">Ai</w:t>
      </w:r>
      <w:r>
        <w:rPr>
          <w:b/>
          <w:i/>
          <w:sz w:val="24"/>
          <w:szCs w:val="24"/>
        </w:rPr>
        <w:t xml:space="preserve">  = r</w:t>
      </w:r>
      <w:r>
        <w:rPr>
          <w:b/>
          <w:i/>
          <w:sz w:val="24"/>
          <w:szCs w:val="24"/>
          <w:vertAlign w:val="subscript"/>
        </w:rPr>
        <w:t xml:space="preserve">i</w:t>
      </w:r>
      <w:r>
        <w:rPr>
          <w:b/>
          <w:i/>
          <w:sz w:val="24"/>
          <w:szCs w:val="24"/>
        </w:rPr>
        <w:t xml:space="preserve"> × СK</w:t>
      </w:r>
      <w:r>
        <w:rPr>
          <w:b/>
          <w:i/>
          <w:sz w:val="24"/>
          <w:szCs w:val="24"/>
          <w:vertAlign w:val="subscript"/>
        </w:rPr>
        <w:t xml:space="preserve">i</w:t>
      </w:r>
      <w:r>
        <w:rPr>
          <w:sz w:val="24"/>
          <w:szCs w:val="24"/>
        </w:rPr>
        <w:t xml:space="preserve">, где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17"/>
        <w:gridCol w:w="284"/>
        <w:gridCol w:w="8505"/>
      </w:tblGrid>
      <w:tr>
        <w:tblPrEx/>
        <w:trPr>
          <w:trHeight w:val="426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Lim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Ai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ind w:left="317" w:right="-108" w:hanging="317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Лимит риска для i-ой кредитной организации</w:t>
            </w:r>
            <w:r>
              <w:rPr>
                <w:sz w:val="24"/>
                <w:szCs w:val="24"/>
                <w:vertAlign w:val="superscript"/>
              </w:rPr>
              <w:footnoteReference w:id="8"/>
            </w:r>
            <w:r>
              <w:rPr>
                <w:sz w:val="24"/>
                <w:szCs w:val="24"/>
                <w:vertAlign w:val="superscript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80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/>
                <w:i/>
                <w:color w:val="000000"/>
                <w:sz w:val="24"/>
                <w:szCs w:val="24"/>
                <w:vertAlign w:val="subscript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С</w:t>
            </w:r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 xml:space="preserve">K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i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</w:rPr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</w:rPr>
            </w:r>
          </w:p>
          <w:p>
            <w:pPr>
              <w:ind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line="247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собственных средств (капитала) i-ой кредитной организации на 01 января текущего календарного года, опубликованный на официальном сайте ЦБ РФ в информационно-телекоммуникационной сети «Интернет» (</w:t>
            </w:r>
            <w:hyperlink r:id="rId21" w:tooltip="http://www.cbr.ru" w:history="1">
              <w:r>
                <w:rPr>
                  <w:sz w:val="24"/>
                  <w:szCs w:val="24"/>
                  <w:u w:val="single"/>
                </w:rPr>
                <w:t xml:space="preserve">www.cbr.ru</w:t>
              </w:r>
            </w:hyperlink>
            <w:r>
              <w:rPr>
                <w:sz w:val="24"/>
                <w:szCs w:val="24"/>
              </w:rPr>
              <w:t xml:space="preserve">) по строке 000 «Расчет собственных средств (капитала) («Базель III»)», код формы 0409123;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993"/>
        </w:trPr>
        <w:tc>
          <w:tcPr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r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</w:rPr>
              <w:t xml:space="preserve">i</w:t>
            </w:r>
            <w:r>
              <w:rPr>
                <w:b/>
                <w:i/>
                <w:color w:val="000000"/>
                <w:sz w:val="24"/>
                <w:szCs w:val="24"/>
              </w:rPr>
            </w:r>
            <w:r>
              <w:rPr>
                <w:b/>
                <w:i/>
                <w:color w:val="000000"/>
                <w:sz w:val="24"/>
                <w:szCs w:val="24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рейтинговый коэффициент</w:t>
            </w:r>
            <w:r>
              <w:rPr>
                <w:rStyle w:val="1113"/>
                <w:sz w:val="24"/>
                <w:szCs w:val="24"/>
              </w:rPr>
              <w:footnoteReference w:id="9"/>
            </w:r>
            <w:r>
              <w:rPr>
                <w:sz w:val="24"/>
                <w:szCs w:val="24"/>
              </w:rPr>
              <w:t xml:space="preserve"> для i-ой кредитной организации, равный: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492"/>
              <w:jc w:val="both"/>
              <w:spacing w:line="247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0,05</w:t>
            </w:r>
            <w:r>
              <w:rPr>
                <w:sz w:val="24"/>
                <w:szCs w:val="24"/>
              </w:rPr>
              <w:t xml:space="preserve"> - если i-ая</w:t>
            </w:r>
            <w:r>
              <w:rPr>
                <w:sz w:val="24"/>
                <w:szCs w:val="24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b/>
                <w:sz w:val="24"/>
                <w:szCs w:val="24"/>
              </w:rPr>
              <w:t xml:space="preserve">«АА-»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>
              <w:rPr>
                <w:b/>
                <w:sz w:val="24"/>
                <w:szCs w:val="24"/>
              </w:rPr>
              <w:t xml:space="preserve">«</w:t>
            </w:r>
            <w:r>
              <w:rPr>
                <w:b/>
                <w:sz w:val="24"/>
                <w:szCs w:val="24"/>
                <w:lang w:val="en-US"/>
              </w:rPr>
              <w:t xml:space="preserve">ru</w:t>
            </w:r>
            <w:r>
              <w:rPr>
                <w:b/>
                <w:sz w:val="24"/>
                <w:szCs w:val="24"/>
              </w:rPr>
              <w:t xml:space="preserve">А</w:t>
            </w:r>
            <w:r>
              <w:rPr>
                <w:b/>
                <w:sz w:val="24"/>
                <w:szCs w:val="24"/>
                <w:lang w:val="en-US"/>
              </w:rPr>
              <w:t xml:space="preserve">A</w:t>
            </w:r>
            <w:r>
              <w:rPr>
                <w:b/>
                <w:sz w:val="24"/>
                <w:szCs w:val="24"/>
              </w:rPr>
              <w:t xml:space="preserve">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Эксперт РА;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67" w:firstLine="425"/>
              <w:jc w:val="both"/>
              <w:spacing w:line="247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0,025</w:t>
            </w:r>
            <w:r>
              <w:rPr>
                <w:sz w:val="24"/>
                <w:szCs w:val="24"/>
              </w:rPr>
              <w:t xml:space="preserve"> - если i-ая кредитная организация им</w:t>
            </w:r>
            <w:r>
              <w:rPr>
                <w:sz w:val="24"/>
                <w:szCs w:val="24"/>
              </w:rPr>
              <w:t xml:space="preserve">еет национальный рейтинг кредитоспособности не ниже уровня </w:t>
            </w:r>
            <w:r>
              <w:rPr>
                <w:b/>
                <w:sz w:val="24"/>
                <w:szCs w:val="24"/>
              </w:rPr>
              <w:t xml:space="preserve">«А-»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>
              <w:rPr>
                <w:b/>
                <w:sz w:val="24"/>
                <w:szCs w:val="24"/>
              </w:rPr>
              <w:t xml:space="preserve">«ruA-»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Эксперт РА;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492"/>
              <w:jc w:val="both"/>
              <w:spacing w:line="247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0,015</w:t>
            </w:r>
            <w:r>
              <w:rPr>
                <w:sz w:val="24"/>
                <w:szCs w:val="24"/>
              </w:rPr>
              <w:t xml:space="preserve"> - если i-ая кредитная организация имеет национальный рейтинг </w:t>
            </w:r>
            <w:r>
              <w:rPr>
                <w:sz w:val="24"/>
                <w:szCs w:val="24"/>
              </w:rPr>
              <w:t xml:space="preserve">кр</w:t>
            </w:r>
            <w:r>
              <w:rPr>
                <w:sz w:val="24"/>
                <w:szCs w:val="24"/>
              </w:rPr>
              <w:t xml:space="preserve">едитоспособности не ниже уровня </w:t>
            </w:r>
            <w:r>
              <w:rPr>
                <w:b/>
                <w:sz w:val="24"/>
                <w:szCs w:val="24"/>
              </w:rPr>
              <w:t xml:space="preserve">«</w:t>
            </w:r>
            <w:r>
              <w:rPr>
                <w:b/>
                <w:sz w:val="24"/>
                <w:szCs w:val="24"/>
                <w:lang w:val="en-US"/>
              </w:rPr>
              <w:t xml:space="preserve">BB</w:t>
            </w:r>
            <w:r>
              <w:rPr>
                <w:b/>
                <w:sz w:val="24"/>
                <w:szCs w:val="24"/>
              </w:rPr>
              <w:t xml:space="preserve">В»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АКРА или не ниже уровня «</w:t>
            </w:r>
            <w:r>
              <w:rPr>
                <w:sz w:val="24"/>
                <w:szCs w:val="24"/>
                <w:lang w:val="en-US"/>
              </w:rPr>
              <w:t xml:space="preserve">ruBB</w:t>
            </w:r>
            <w:r>
              <w:rPr>
                <w:sz w:val="24"/>
                <w:szCs w:val="24"/>
              </w:rPr>
              <w:t xml:space="preserve">В» по классификации рейтингового агентства Эксперт РА, а также находится в процессе финансового оздоровления (санации).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line="247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89"/>
        <w:ind w:firstLine="567"/>
        <w:jc w:val="right"/>
        <w:spacing w:after="0" w:line="247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7" w:lineRule="auto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line="259" w:lineRule="auto"/>
        <w:widowControl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от «____» __________ 20__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Акт </w:t>
      </w:r>
      <w:r>
        <w:rPr>
          <w:sz w:val="24"/>
          <w:szCs w:val="24"/>
          <w:lang w:val="ru-RU"/>
        </w:rPr>
        <w:t xml:space="preserve">прие</w:t>
      </w:r>
      <w:r>
        <w:rPr>
          <w:sz w:val="24"/>
          <w:szCs w:val="24"/>
          <w:lang w:val="ru-RU"/>
        </w:rPr>
        <w:t xml:space="preserve">ма передачи независимой гарантии</w:t>
      </w:r>
      <w:r>
        <w:rPr>
          <w:sz w:val="24"/>
          <w:szCs w:val="24"/>
          <w:lang w:val="ru-RU"/>
        </w:rPr>
        <w:t xml:space="preserve"> по Договору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(форма)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tabs>
          <w:tab w:val="left" w:pos="8280" w:leader="none"/>
        </w:tabs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г.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Хабаровск</w:t>
      </w:r>
      <w:r>
        <w:rPr>
          <w:sz w:val="24"/>
          <w:szCs w:val="24"/>
          <w:lang w:val="ru-RU"/>
        </w:rPr>
        <w:t xml:space="preserve">                                     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«</w:t>
      </w:r>
      <w:r>
        <w:rPr>
          <w:sz w:val="24"/>
          <w:szCs w:val="24"/>
          <w:lang w:val="ru-RU"/>
        </w:rPr>
        <w:t xml:space="preserve">_____»_________20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г.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851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Мы, нижеподписавшиеся, ____ «________________» </w:t>
      </w:r>
      <w:r>
        <w:rPr>
          <w:i/>
          <w:sz w:val="24"/>
          <w:szCs w:val="24"/>
          <w:lang w:val="ru-RU"/>
        </w:rPr>
        <w:t xml:space="preserve">(указать наименование контрагента)</w:t>
      </w:r>
      <w:r>
        <w:rPr>
          <w:sz w:val="24"/>
          <w:szCs w:val="24"/>
          <w:lang w:val="ru-RU"/>
        </w:rPr>
        <w:t xml:space="preserve"> в лице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(далее – Сторона 1), и представитель АО «ДГК» в лице </w:t>
      </w:r>
      <w:r>
        <w:rPr>
          <w:sz w:val="24"/>
          <w:szCs w:val="24"/>
          <w:lang w:val="ru-RU"/>
        </w:rPr>
        <w:t xml:space="preserve">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(</w:t>
      </w:r>
      <w:r>
        <w:rPr>
          <w:sz w:val="24"/>
          <w:szCs w:val="24"/>
          <w:lang w:val="ru-RU"/>
        </w:rPr>
        <w:t xml:space="preserve">далее – Сторона 2), </w:t>
      </w:r>
      <w:r>
        <w:rPr>
          <w:sz w:val="24"/>
          <w:szCs w:val="24"/>
          <w:lang w:val="ru-RU"/>
        </w:rPr>
        <w:t xml:space="preserve">подписали настоящий акт в двух экземплярах о том, что Сторона 1 передала, а Сторона 2 приняла оригинал независимой (-их) гарантии (-й), выданной (-ых) ___________ (</w:t>
      </w:r>
      <w:r>
        <w:rPr>
          <w:i/>
          <w:sz w:val="24"/>
          <w:szCs w:val="24"/>
          <w:lang w:val="ru-RU"/>
        </w:rPr>
        <w:t xml:space="preserve">наименование банка, выдавшего БГ</w:t>
      </w:r>
      <w:r>
        <w:rPr>
          <w:sz w:val="24"/>
          <w:szCs w:val="24"/>
          <w:lang w:val="ru-RU"/>
        </w:rPr>
        <w:t xml:space="preserve">) со следующими реквизитами: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ind w:firstLine="851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96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29"/>
        <w:gridCol w:w="1134"/>
        <w:gridCol w:w="992"/>
        <w:gridCol w:w="996"/>
        <w:gridCol w:w="1984"/>
        <w:gridCol w:w="1244"/>
        <w:gridCol w:w="1024"/>
      </w:tblGrid>
      <w:tr>
        <w:tblPrEx/>
        <w:trPr>
          <w:trHeight w:val="850"/>
        </w:trPr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jc w:val="center"/>
            </w:pPr>
            <w:r>
              <w:t xml:space="preserve">№</w:t>
            </w:r>
            <w:r/>
          </w:p>
          <w:p>
            <w:pPr>
              <w:jc w:val="center"/>
            </w:pPr>
            <w:r>
              <w:t xml:space="preserve">п/п</w:t>
            </w:r>
            <w:r/>
          </w:p>
        </w:tc>
        <w:tc>
          <w:tcPr>
            <w:shd w:val="clear" w:color="ffffff" w:fill="ffffff"/>
            <w:tcW w:w="1729" w:type="dxa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Реквизиты обеспечиваемого обязательства (Договора, от №)</w:t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Банка (фонда)-Гаранта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Номер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Сумма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руб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24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выдачи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02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окончания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</w:t>
            </w:r>
            <w:r/>
          </w:p>
        </w:tc>
        <w:tc>
          <w:tcPr>
            <w:shd w:val="clear" w:color="ffffff" w:fill="ffffff"/>
            <w:tcW w:w="17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i/>
                <w:sz w:val="22"/>
              </w:rPr>
              <w:t xml:space="preserve">Указать</w:t>
            </w:r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реквизиты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2"/>
                <w:lang w:val="ru-RU"/>
              </w:rPr>
            </w:pPr>
            <w:r>
              <w:rPr>
                <w:i/>
                <w:sz w:val="22"/>
                <w:lang w:val="ru-RU"/>
              </w:rPr>
              <w:t xml:space="preserve">указать вид гарантии, например, надлежащего исполнения обязательств/возврат аванса</w:t>
            </w:r>
            <w:r>
              <w:rPr>
                <w:i/>
                <w:sz w:val="22"/>
                <w:lang w:val="ru-RU"/>
              </w:rPr>
            </w:r>
            <w:r>
              <w:rPr>
                <w:i/>
                <w:sz w:val="22"/>
                <w:lang w:val="ru-RU"/>
              </w:rPr>
            </w:r>
          </w:p>
        </w:tc>
        <w:tc>
          <w:tcPr>
            <w:shd w:val="clear" w:color="ffffff" w:fill="ffffff"/>
            <w:tcW w:w="12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shd w:val="clear" w:color="ffffff" w:fill="ffffff"/>
            <w:tcW w:w="10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</w:tr>
    </w:tbl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Приложение.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Оригинал независимой гарантии от ___ № ________;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гарантию)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акт приема-передачи)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spacing w:line="360" w:lineRule="auto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Передал: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Принял: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уполномоченного лица Стороны 1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 xml:space="preserve">уполномоченного лица Стороны 2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___________________________                                          _______________________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20"/>
          <w:szCs w:val="20"/>
          <w:lang w:val="ru-RU"/>
        </w:rPr>
        <w:t xml:space="preserve">                                                                                   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pStyle w:val="920"/>
        <w:jc w:val="center"/>
        <w:rPr>
          <w:rFonts w:ascii="Times New Roman" w:hAnsi="Times New Roman" w:eastAsia="Times New Roman" w:cs="Times New Roman"/>
          <w:bCs w:val="0"/>
          <w:i w:val="0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</w:rPr>
        <w:t xml:space="preserve">ФОРМА СОГЛАСОВАНА</w:t>
      </w:r>
      <w:r>
        <w:rPr>
          <w:rFonts w:ascii="Times New Roman" w:hAnsi="Times New Roman" w:eastAsia="Times New Roman" w:cs="Times New Roman"/>
          <w:bCs w:val="0"/>
          <w:i w:val="0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130"/>
              <w:spacing w:after="0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130"/>
              <w:spacing w:after="0"/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130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30"/>
              <w:spacing w:after="0"/>
            </w:pPr>
            <w:r>
              <w:t xml:space="preserve">________________ / _____________</w:t>
            </w:r>
            <w:r/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130"/>
              <w:spacing w:after="0"/>
              <w:rPr>
                <w:b/>
              </w:rPr>
            </w:pPr>
            <w:r>
              <w:rPr>
                <w:b/>
              </w:rPr>
              <w:t xml:space="preserve">Поставщик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130"/>
              <w:spacing w:after="0"/>
              <w:rPr>
                <w:b/>
              </w:rPr>
            </w:pPr>
            <w:r>
              <w:rPr>
                <w:b/>
              </w:rPr>
              <w:t xml:space="preserve">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130"/>
              <w:spacing w:after="0"/>
            </w:pPr>
            <w:r/>
            <w:r/>
          </w:p>
          <w:p>
            <w:pPr>
              <w:pStyle w:val="1130"/>
              <w:spacing w:after="0"/>
            </w:pPr>
            <w:r>
              <w:t xml:space="preserve">________________ / ______________</w:t>
            </w:r>
            <w:r/>
          </w:p>
        </w:tc>
      </w:tr>
    </w:tbl>
    <w:p>
      <w:pPr>
        <w:ind w:firstLine="0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3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3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111"/>
      </w:pPr>
      <w:r>
        <w:rPr>
          <w:rStyle w:val="1113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  <w:r/>
    </w:p>
  </w:footnote>
  <w:footnote w:id="3">
    <w:p>
      <w:pPr>
        <w:pStyle w:val="1111"/>
      </w:pPr>
      <w:r>
        <w:rPr>
          <w:rStyle w:val="1113"/>
        </w:rPr>
        <w:footnoteRef/>
      </w:r>
      <w:r>
        <w:t xml:space="preserve"> </w:t>
      </w:r>
      <w:r>
        <w:t xml:space="preserve">Исключается из Договора в случае, если контрагент</w:t>
      </w:r>
      <w:r>
        <w:t xml:space="preserve">ом</w:t>
      </w:r>
      <w:r>
        <w:t xml:space="preserve"> применяет</w:t>
      </w:r>
      <w:r>
        <w:t xml:space="preserve">ся упрощенная</w:t>
      </w:r>
      <w:r>
        <w:t xml:space="preserve"> систем</w:t>
      </w:r>
      <w:r>
        <w:t xml:space="preserve">а</w:t>
      </w:r>
      <w:r>
        <w:t xml:space="preserve"> налогообложения</w:t>
      </w:r>
      <w:r/>
    </w:p>
  </w:footnote>
  <w:footnote w:id="4">
    <w:p>
      <w:pPr>
        <w:pStyle w:val="1111"/>
      </w:pPr>
      <w:r>
        <w:rPr>
          <w:rStyle w:val="1113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  <w:r/>
    </w:p>
  </w:footnote>
  <w:footnote w:id="5">
    <w:p>
      <w:pPr>
        <w:pStyle w:val="1111"/>
        <w:jc w:val="both"/>
      </w:pPr>
      <w:r>
        <w:rPr>
          <w:rStyle w:val="1113"/>
        </w:rPr>
        <w:footnoteRef/>
      </w:r>
      <w:r>
        <w:t xml:space="preserve"> Актуальный Перече</w:t>
      </w:r>
      <w:r>
        <w:t xml:space="preserve">нь Банков-Гарантов Группы РусГидро размещен на официальном сайте Общества http://zakupki.rushydro.ru/PublicContent/Section/6</w:t>
      </w:r>
      <w:r/>
    </w:p>
  </w:footnote>
  <w:footnote w:id="6">
    <w:p>
      <w:pPr>
        <w:pStyle w:val="1111"/>
        <w:jc w:val="both"/>
      </w:pPr>
      <w:r>
        <w:rPr>
          <w:rStyle w:val="1113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</w:t>
      </w:r>
      <w:r>
        <w:t xml:space="preserve">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Reuters, Bloomberg, Сbonds).</w:t>
      </w:r>
      <w:r/>
    </w:p>
  </w:footnote>
  <w:footnote w:id="7">
    <w:p>
      <w:pPr>
        <w:pStyle w:val="1111"/>
        <w:jc w:val="both"/>
      </w:pPr>
      <w:r>
        <w:rPr>
          <w:rStyle w:val="1113"/>
        </w:rPr>
        <w:footnoteRef/>
      </w:r>
      <w:r>
        <w:t xml:space="preserve"> Данное требование не применяется в отношении небанк</w:t>
      </w:r>
      <w:r>
        <w:t xml:space="preserve">овских кредитных организаций.</w:t>
      </w:r>
      <w:r/>
    </w:p>
  </w:footnote>
  <w:footnote w:id="8">
    <w:p>
      <w:pPr>
        <w:pStyle w:val="1111"/>
        <w:jc w:val="both"/>
      </w:pPr>
      <w:r>
        <w:rPr>
          <w:rStyle w:val="1113"/>
        </w:rPr>
        <w:footnoteRef/>
      </w:r>
      <w:r>
        <w:t xml:space="preserve"> </w:t>
      </w:r>
      <w:r>
        <w:rPr>
          <w:lang w:eastAsia="en-US"/>
        </w:rPr>
        <w:t xml:space="preserve">Значение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</w:t>
      </w:r>
      <w:r>
        <w:rPr>
          <w:lang w:eastAsia="en-US"/>
        </w:rPr>
        <w:t xml:space="preserve">еньшую сторону; если первая из отделяемых цифр больше 5, то значение показателя округляется в большую сторону. Например, расчетное значение лимита - 5 440 млн. руб., лимит к установлению - 5 400 млн. руб.; расчетное значение лимита - 5 450 млн. руб., лимит</w:t>
      </w:r>
      <w:r>
        <w:rPr>
          <w:lang w:eastAsia="en-US"/>
        </w:rPr>
        <w:t xml:space="preserve"> к установлению - 5 500 млн. руб.</w:t>
      </w:r>
      <w:r/>
    </w:p>
  </w:footnote>
  <w:footnote w:id="9">
    <w:p>
      <w:pPr>
        <w:pStyle w:val="1111"/>
        <w:jc w:val="both"/>
      </w:pPr>
      <w:r>
        <w:rPr>
          <w:rStyle w:val="1113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</w:t>
      </w:r>
      <w:r>
        <w:t xml:space="preserve">а кредитной организации и /или рейтинговых агентств и/или из информационных систем Reuters, Bloomberg, Сbonds)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10">
    <w:name w:val="Heading 1 Char"/>
    <w:basedOn w:val="1081"/>
    <w:link w:val="1079"/>
    <w:uiPriority w:val="9"/>
    <w:rPr>
      <w:rFonts w:ascii="Arial" w:hAnsi="Arial" w:eastAsia="Arial" w:cs="Arial"/>
      <w:sz w:val="40"/>
      <w:szCs w:val="40"/>
    </w:rPr>
  </w:style>
  <w:style w:type="paragraph" w:styleId="911">
    <w:name w:val="Heading 2"/>
    <w:basedOn w:val="1078"/>
    <w:next w:val="1078"/>
    <w:link w:val="9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12">
    <w:name w:val="Heading 2 Char"/>
    <w:basedOn w:val="1081"/>
    <w:link w:val="911"/>
    <w:uiPriority w:val="9"/>
    <w:rPr>
      <w:rFonts w:ascii="Arial" w:hAnsi="Arial" w:eastAsia="Arial" w:cs="Arial"/>
      <w:sz w:val="34"/>
    </w:rPr>
  </w:style>
  <w:style w:type="character" w:styleId="913">
    <w:name w:val="Heading 3 Char"/>
    <w:basedOn w:val="1081"/>
    <w:link w:val="1080"/>
    <w:uiPriority w:val="9"/>
    <w:rPr>
      <w:rFonts w:ascii="Arial" w:hAnsi="Arial" w:eastAsia="Arial" w:cs="Arial"/>
      <w:sz w:val="30"/>
      <w:szCs w:val="30"/>
    </w:rPr>
  </w:style>
  <w:style w:type="paragraph" w:styleId="914">
    <w:name w:val="Heading 4"/>
    <w:basedOn w:val="1078"/>
    <w:next w:val="1078"/>
    <w:link w:val="9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15">
    <w:name w:val="Heading 4 Char"/>
    <w:basedOn w:val="1081"/>
    <w:link w:val="914"/>
    <w:uiPriority w:val="9"/>
    <w:rPr>
      <w:rFonts w:ascii="Arial" w:hAnsi="Arial" w:eastAsia="Arial" w:cs="Arial"/>
      <w:b/>
      <w:bCs/>
      <w:sz w:val="26"/>
      <w:szCs w:val="26"/>
    </w:rPr>
  </w:style>
  <w:style w:type="paragraph" w:styleId="916">
    <w:name w:val="Heading 5"/>
    <w:basedOn w:val="1078"/>
    <w:next w:val="1078"/>
    <w:link w:val="9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17">
    <w:name w:val="Heading 5 Char"/>
    <w:basedOn w:val="1081"/>
    <w:link w:val="916"/>
    <w:uiPriority w:val="9"/>
    <w:rPr>
      <w:rFonts w:ascii="Arial" w:hAnsi="Arial" w:eastAsia="Arial" w:cs="Arial"/>
      <w:b/>
      <w:bCs/>
      <w:sz w:val="24"/>
      <w:szCs w:val="24"/>
    </w:rPr>
  </w:style>
  <w:style w:type="paragraph" w:styleId="918">
    <w:name w:val="Heading 6"/>
    <w:basedOn w:val="1078"/>
    <w:next w:val="1078"/>
    <w:link w:val="91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19">
    <w:name w:val="Heading 6 Char"/>
    <w:basedOn w:val="1081"/>
    <w:link w:val="918"/>
    <w:uiPriority w:val="9"/>
    <w:rPr>
      <w:rFonts w:ascii="Arial" w:hAnsi="Arial" w:eastAsia="Arial" w:cs="Arial"/>
      <w:b/>
      <w:bCs/>
      <w:sz w:val="22"/>
      <w:szCs w:val="22"/>
    </w:rPr>
  </w:style>
  <w:style w:type="paragraph" w:styleId="920">
    <w:name w:val="Heading 7"/>
    <w:basedOn w:val="1078"/>
    <w:next w:val="1078"/>
    <w:link w:val="92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21">
    <w:name w:val="Heading 7 Char"/>
    <w:basedOn w:val="1081"/>
    <w:link w:val="9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22">
    <w:name w:val="Heading 8"/>
    <w:basedOn w:val="1078"/>
    <w:next w:val="1078"/>
    <w:link w:val="92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23">
    <w:name w:val="Heading 8 Char"/>
    <w:basedOn w:val="1081"/>
    <w:link w:val="922"/>
    <w:uiPriority w:val="9"/>
    <w:rPr>
      <w:rFonts w:ascii="Arial" w:hAnsi="Arial" w:eastAsia="Arial" w:cs="Arial"/>
      <w:i/>
      <w:iCs/>
      <w:sz w:val="22"/>
      <w:szCs w:val="22"/>
    </w:rPr>
  </w:style>
  <w:style w:type="paragraph" w:styleId="924">
    <w:name w:val="Heading 9"/>
    <w:basedOn w:val="1078"/>
    <w:next w:val="1078"/>
    <w:link w:val="9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25">
    <w:name w:val="Heading 9 Char"/>
    <w:basedOn w:val="1081"/>
    <w:link w:val="924"/>
    <w:uiPriority w:val="9"/>
    <w:rPr>
      <w:rFonts w:ascii="Arial" w:hAnsi="Arial" w:eastAsia="Arial" w:cs="Arial"/>
      <w:i/>
      <w:iCs/>
      <w:sz w:val="21"/>
      <w:szCs w:val="21"/>
    </w:rPr>
  </w:style>
  <w:style w:type="paragraph" w:styleId="926">
    <w:name w:val="No Spacing"/>
    <w:uiPriority w:val="1"/>
    <w:qFormat/>
    <w:pPr>
      <w:spacing w:before="0" w:after="0" w:line="240" w:lineRule="auto"/>
    </w:pPr>
  </w:style>
  <w:style w:type="character" w:styleId="927">
    <w:name w:val="Title Char"/>
    <w:basedOn w:val="1081"/>
    <w:link w:val="1084"/>
    <w:uiPriority w:val="10"/>
    <w:rPr>
      <w:sz w:val="48"/>
      <w:szCs w:val="48"/>
    </w:rPr>
  </w:style>
  <w:style w:type="paragraph" w:styleId="928">
    <w:name w:val="Subtitle"/>
    <w:basedOn w:val="1078"/>
    <w:next w:val="1078"/>
    <w:link w:val="929"/>
    <w:uiPriority w:val="11"/>
    <w:qFormat/>
    <w:pPr>
      <w:spacing w:before="200" w:after="200"/>
    </w:pPr>
    <w:rPr>
      <w:sz w:val="24"/>
      <w:szCs w:val="24"/>
    </w:rPr>
  </w:style>
  <w:style w:type="character" w:styleId="929">
    <w:name w:val="Subtitle Char"/>
    <w:basedOn w:val="1081"/>
    <w:link w:val="928"/>
    <w:uiPriority w:val="11"/>
    <w:rPr>
      <w:sz w:val="24"/>
      <w:szCs w:val="24"/>
    </w:rPr>
  </w:style>
  <w:style w:type="paragraph" w:styleId="930">
    <w:name w:val="Quote"/>
    <w:basedOn w:val="1078"/>
    <w:next w:val="1078"/>
    <w:link w:val="931"/>
    <w:uiPriority w:val="29"/>
    <w:qFormat/>
    <w:pPr>
      <w:ind w:left="720" w:right="720"/>
    </w:pPr>
    <w:rPr>
      <w:i/>
    </w:rPr>
  </w:style>
  <w:style w:type="character" w:styleId="931">
    <w:name w:val="Quote Char"/>
    <w:link w:val="930"/>
    <w:uiPriority w:val="29"/>
    <w:rPr>
      <w:i/>
    </w:rPr>
  </w:style>
  <w:style w:type="paragraph" w:styleId="932">
    <w:name w:val="Intense Quote"/>
    <w:basedOn w:val="1078"/>
    <w:next w:val="1078"/>
    <w:link w:val="93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33">
    <w:name w:val="Intense Quote Char"/>
    <w:link w:val="932"/>
    <w:uiPriority w:val="30"/>
    <w:rPr>
      <w:i/>
    </w:rPr>
  </w:style>
  <w:style w:type="character" w:styleId="934">
    <w:name w:val="Header Char"/>
    <w:basedOn w:val="1081"/>
    <w:link w:val="1118"/>
    <w:uiPriority w:val="99"/>
  </w:style>
  <w:style w:type="character" w:styleId="935">
    <w:name w:val="Footer Char"/>
    <w:basedOn w:val="1081"/>
    <w:link w:val="1093"/>
    <w:uiPriority w:val="99"/>
  </w:style>
  <w:style w:type="paragraph" w:styleId="936">
    <w:name w:val="Caption"/>
    <w:basedOn w:val="1078"/>
    <w:next w:val="1078"/>
    <w:link w:val="9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37">
    <w:name w:val="Caption Char"/>
    <w:basedOn w:val="936"/>
    <w:link w:val="1093"/>
    <w:uiPriority w:val="99"/>
  </w:style>
  <w:style w:type="table" w:styleId="938">
    <w:name w:val="Table Grid Light"/>
    <w:basedOn w:val="108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9">
    <w:name w:val="Plain Table 1"/>
    <w:basedOn w:val="108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0">
    <w:name w:val="Plain Table 2"/>
    <w:basedOn w:val="108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1">
    <w:name w:val="Plain Table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2">
    <w:name w:val="Plain Table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Plain Table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4">
    <w:name w:val="Grid Table 1 Light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Grid Table 1 Light 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Grid Table 1 Light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Grid Table 1 Light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Grid Table 1 Light 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Grid Table 1 Light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Grid Table 1 Light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Grid Table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2 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2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2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2 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2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2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3 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3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3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3 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3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3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4"/>
    <w:basedOn w:val="10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66">
    <w:name w:val="Grid Table 4 - Accent 1"/>
    <w:basedOn w:val="10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67">
    <w:name w:val="Grid Table 4 - Accent 2"/>
    <w:basedOn w:val="10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68">
    <w:name w:val="Grid Table 4 - Accent 3"/>
    <w:basedOn w:val="10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9">
    <w:name w:val="Grid Table 4 - Accent 4"/>
    <w:basedOn w:val="10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70">
    <w:name w:val="Grid Table 4 - Accent 5"/>
    <w:basedOn w:val="10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71">
    <w:name w:val="Grid Table 4 - Accent 6"/>
    <w:basedOn w:val="10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72">
    <w:name w:val="Grid Table 5 Dark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73">
    <w:name w:val="Grid Table 5 Dark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74">
    <w:name w:val="Grid Table 5 Dark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75">
    <w:name w:val="Grid Table 5 Dark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76">
    <w:name w:val="Grid Table 5 Dark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77">
    <w:name w:val="Grid Table 5 Dark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78">
    <w:name w:val="Grid Table 5 Dark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79">
    <w:name w:val="Grid Table 6 Colorful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80">
    <w:name w:val="Grid Table 6 Colorful 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81">
    <w:name w:val="Grid Table 6 Colorful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82">
    <w:name w:val="Grid Table 6 Colorful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83">
    <w:name w:val="Grid Table 6 Colorful 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84">
    <w:name w:val="Grid Table 6 Colorful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5">
    <w:name w:val="Grid Table 6 Colorful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6">
    <w:name w:val="Grid Table 7 Colorful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7 Colorful 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7 Colorful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7 Colorful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7 Colorful 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7 Colorful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7 Colorful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List Table 1 Light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List Table 1 Light 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List Table 1 Light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List Table 1 Light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List Table 1 Light 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List Table 1 Light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List Table 1 Light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List Table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01">
    <w:name w:val="List Table 2 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02">
    <w:name w:val="List Table 2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03">
    <w:name w:val="List Table 2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04">
    <w:name w:val="List Table 2 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05">
    <w:name w:val="List Table 2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06">
    <w:name w:val="List Table 2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07">
    <w:name w:val="List Table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3 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3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3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3 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3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3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List Table 4 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List Table 4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4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4 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4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4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5 Dark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2">
    <w:name w:val="List Table 5 Dark 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3">
    <w:name w:val="List Table 5 Dark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4">
    <w:name w:val="List Table 5 Dark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5">
    <w:name w:val="List Table 5 Dark 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6">
    <w:name w:val="List Table 5 Dark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7">
    <w:name w:val="List Table 5 Dark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8">
    <w:name w:val="List Table 6 Colorful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9">
    <w:name w:val="List Table 6 Colorful 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30">
    <w:name w:val="List Table 6 Colorful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1">
    <w:name w:val="List Table 6 Colorful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32">
    <w:name w:val="List Table 6 Colorful 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3">
    <w:name w:val="List Table 6 Colorful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34">
    <w:name w:val="List Table 6 Colorful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35">
    <w:name w:val="List Table 7 Colorful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36">
    <w:name w:val="List Table 7 Colorful 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037">
    <w:name w:val="List Table 7 Colorful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38">
    <w:name w:val="List Table 7 Colorful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39">
    <w:name w:val="List Table 7 Colorful 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40">
    <w:name w:val="List Table 7 Colorful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41">
    <w:name w:val="List Table 7 Colorful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42">
    <w:name w:val="Lined - Accent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3">
    <w:name w:val="Lined - Accent 1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44">
    <w:name w:val="Lined - Accent 2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45">
    <w:name w:val="Lined - Accent 3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46">
    <w:name w:val="Lined - Accent 4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47">
    <w:name w:val="Lined - Accent 5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48">
    <w:name w:val="Lined - Accent 6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49">
    <w:name w:val="Bordered &amp; Lined - Accent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0">
    <w:name w:val="Bordered &amp; Lined - Accent 1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51">
    <w:name w:val="Bordered &amp; Lined - Accent 2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52">
    <w:name w:val="Bordered &amp; Lined - Accent 3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53">
    <w:name w:val="Bordered &amp; Lined - Accent 4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54">
    <w:name w:val="Bordered &amp; Lined - Accent 5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55">
    <w:name w:val="Bordered &amp; Lined - Accent 6"/>
    <w:basedOn w:val="10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56">
    <w:name w:val="Bordered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57">
    <w:name w:val="Bordered - Accent 1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58">
    <w:name w:val="Bordered - Accent 2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9">
    <w:name w:val="Bordered - Accent 3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60">
    <w:name w:val="Bordered - Accent 4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61">
    <w:name w:val="Bordered - Accent 5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62">
    <w:name w:val="Bordered - Accent 6"/>
    <w:basedOn w:val="10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63">
    <w:name w:val="Footnote Text Char"/>
    <w:link w:val="1111"/>
    <w:uiPriority w:val="99"/>
    <w:rPr>
      <w:sz w:val="18"/>
    </w:rPr>
  </w:style>
  <w:style w:type="paragraph" w:styleId="1064">
    <w:name w:val="endnote text"/>
    <w:basedOn w:val="1078"/>
    <w:link w:val="1065"/>
    <w:uiPriority w:val="99"/>
    <w:semiHidden/>
    <w:unhideWhenUsed/>
    <w:pPr>
      <w:spacing w:after="0" w:line="240" w:lineRule="auto"/>
    </w:pPr>
    <w:rPr>
      <w:sz w:val="20"/>
    </w:rPr>
  </w:style>
  <w:style w:type="character" w:styleId="1065">
    <w:name w:val="Endnote Text Char"/>
    <w:link w:val="1064"/>
    <w:uiPriority w:val="99"/>
    <w:rPr>
      <w:sz w:val="20"/>
    </w:rPr>
  </w:style>
  <w:style w:type="character" w:styleId="1066">
    <w:name w:val="endnote reference"/>
    <w:basedOn w:val="1081"/>
    <w:uiPriority w:val="99"/>
    <w:semiHidden/>
    <w:unhideWhenUsed/>
    <w:rPr>
      <w:vertAlign w:val="superscript"/>
    </w:rPr>
  </w:style>
  <w:style w:type="paragraph" w:styleId="1067">
    <w:name w:val="toc 1"/>
    <w:basedOn w:val="1078"/>
    <w:next w:val="1078"/>
    <w:uiPriority w:val="39"/>
    <w:unhideWhenUsed/>
    <w:pPr>
      <w:ind w:left="0" w:right="0" w:firstLine="0"/>
      <w:spacing w:after="57"/>
    </w:pPr>
  </w:style>
  <w:style w:type="paragraph" w:styleId="1068">
    <w:name w:val="toc 2"/>
    <w:basedOn w:val="1078"/>
    <w:next w:val="1078"/>
    <w:uiPriority w:val="39"/>
    <w:unhideWhenUsed/>
    <w:pPr>
      <w:ind w:left="283" w:right="0" w:firstLine="0"/>
      <w:spacing w:after="57"/>
    </w:pPr>
  </w:style>
  <w:style w:type="paragraph" w:styleId="1069">
    <w:name w:val="toc 3"/>
    <w:basedOn w:val="1078"/>
    <w:next w:val="1078"/>
    <w:uiPriority w:val="39"/>
    <w:unhideWhenUsed/>
    <w:pPr>
      <w:ind w:left="567" w:right="0" w:firstLine="0"/>
      <w:spacing w:after="57"/>
    </w:pPr>
  </w:style>
  <w:style w:type="paragraph" w:styleId="1070">
    <w:name w:val="toc 4"/>
    <w:basedOn w:val="1078"/>
    <w:next w:val="1078"/>
    <w:uiPriority w:val="39"/>
    <w:unhideWhenUsed/>
    <w:pPr>
      <w:ind w:left="850" w:right="0" w:firstLine="0"/>
      <w:spacing w:after="57"/>
    </w:pPr>
  </w:style>
  <w:style w:type="paragraph" w:styleId="1071">
    <w:name w:val="toc 5"/>
    <w:basedOn w:val="1078"/>
    <w:next w:val="1078"/>
    <w:uiPriority w:val="39"/>
    <w:unhideWhenUsed/>
    <w:pPr>
      <w:ind w:left="1134" w:right="0" w:firstLine="0"/>
      <w:spacing w:after="57"/>
    </w:pPr>
  </w:style>
  <w:style w:type="paragraph" w:styleId="1072">
    <w:name w:val="toc 6"/>
    <w:basedOn w:val="1078"/>
    <w:next w:val="1078"/>
    <w:uiPriority w:val="39"/>
    <w:unhideWhenUsed/>
    <w:pPr>
      <w:ind w:left="1417" w:right="0" w:firstLine="0"/>
      <w:spacing w:after="57"/>
    </w:pPr>
  </w:style>
  <w:style w:type="paragraph" w:styleId="1073">
    <w:name w:val="toc 7"/>
    <w:basedOn w:val="1078"/>
    <w:next w:val="1078"/>
    <w:uiPriority w:val="39"/>
    <w:unhideWhenUsed/>
    <w:pPr>
      <w:ind w:left="1701" w:right="0" w:firstLine="0"/>
      <w:spacing w:after="57"/>
    </w:pPr>
  </w:style>
  <w:style w:type="paragraph" w:styleId="1074">
    <w:name w:val="toc 8"/>
    <w:basedOn w:val="1078"/>
    <w:next w:val="1078"/>
    <w:uiPriority w:val="39"/>
    <w:unhideWhenUsed/>
    <w:pPr>
      <w:ind w:left="1984" w:right="0" w:firstLine="0"/>
      <w:spacing w:after="57"/>
    </w:pPr>
  </w:style>
  <w:style w:type="paragraph" w:styleId="1075">
    <w:name w:val="toc 9"/>
    <w:basedOn w:val="1078"/>
    <w:next w:val="1078"/>
    <w:uiPriority w:val="39"/>
    <w:unhideWhenUsed/>
    <w:pPr>
      <w:ind w:left="2268" w:right="0" w:firstLine="0"/>
      <w:spacing w:after="57"/>
    </w:pPr>
  </w:style>
  <w:style w:type="paragraph" w:styleId="1076">
    <w:name w:val="TOC Heading"/>
    <w:uiPriority w:val="39"/>
    <w:unhideWhenUsed/>
  </w:style>
  <w:style w:type="paragraph" w:styleId="1077">
    <w:name w:val="table of figures"/>
    <w:basedOn w:val="1078"/>
    <w:next w:val="1078"/>
    <w:uiPriority w:val="99"/>
    <w:unhideWhenUsed/>
    <w:pPr>
      <w:spacing w:after="0" w:afterAutospacing="0"/>
    </w:pPr>
  </w:style>
  <w:style w:type="paragraph" w:styleId="1078" w:default="1">
    <w:name w:val="Normal"/>
    <w:qFormat/>
    <w:pPr>
      <w:widowControl w:val="off"/>
    </w:pPr>
  </w:style>
  <w:style w:type="paragraph" w:styleId="1079">
    <w:name w:val="Heading 1"/>
    <w:basedOn w:val="1078"/>
    <w:next w:val="107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80">
    <w:name w:val="Heading 3"/>
    <w:basedOn w:val="1078"/>
    <w:next w:val="1078"/>
    <w:link w:val="1105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81" w:default="1">
    <w:name w:val="Default Paragraph Font"/>
    <w:uiPriority w:val="1"/>
    <w:semiHidden/>
    <w:unhideWhenUsed/>
  </w:style>
  <w:style w:type="table" w:styleId="10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83" w:default="1">
    <w:name w:val="No List"/>
    <w:uiPriority w:val="99"/>
    <w:semiHidden/>
    <w:unhideWhenUsed/>
  </w:style>
  <w:style w:type="paragraph" w:styleId="1084">
    <w:name w:val="Title"/>
    <w:basedOn w:val="1078"/>
    <w:link w:val="1091"/>
    <w:qFormat/>
    <w:pPr>
      <w:jc w:val="center"/>
    </w:pPr>
    <w:rPr>
      <w:b/>
      <w:bCs/>
      <w:sz w:val="24"/>
      <w:szCs w:val="24"/>
    </w:rPr>
  </w:style>
  <w:style w:type="paragraph" w:styleId="1085" w:customStyle="1">
    <w:name w:val="Таблицы (моноширинный)"/>
    <w:basedOn w:val="1078"/>
    <w:next w:val="1078"/>
    <w:pPr>
      <w:jc w:val="both"/>
    </w:pPr>
    <w:rPr>
      <w:rFonts w:ascii="Courier New" w:hAnsi="Courier New" w:cs="Courier New"/>
    </w:rPr>
  </w:style>
  <w:style w:type="paragraph" w:styleId="1086">
    <w:name w:val="Body Text Indent 2"/>
    <w:basedOn w:val="1078"/>
    <w:pPr>
      <w:ind w:left="1843"/>
      <w:jc w:val="both"/>
    </w:pPr>
    <w:rPr>
      <w:sz w:val="24"/>
    </w:rPr>
  </w:style>
  <w:style w:type="paragraph" w:styleId="1087">
    <w:name w:val="Balloon Text"/>
    <w:basedOn w:val="1078"/>
    <w:semiHidden/>
    <w:rPr>
      <w:rFonts w:ascii="Tahoma" w:hAnsi="Tahoma" w:cs="Tahoma"/>
      <w:sz w:val="16"/>
      <w:szCs w:val="16"/>
    </w:rPr>
  </w:style>
  <w:style w:type="paragraph" w:styleId="1088">
    <w:name w:val="Body Text 2"/>
    <w:basedOn w:val="1078"/>
    <w:pPr>
      <w:spacing w:after="120" w:line="480" w:lineRule="auto"/>
      <w:widowControl/>
    </w:pPr>
    <w:rPr>
      <w:sz w:val="24"/>
      <w:szCs w:val="24"/>
    </w:rPr>
  </w:style>
  <w:style w:type="paragraph" w:styleId="1089">
    <w:name w:val="Body Text"/>
    <w:basedOn w:val="1078"/>
    <w:link w:val="1092"/>
    <w:pPr>
      <w:spacing w:after="120"/>
    </w:pPr>
  </w:style>
  <w:style w:type="table" w:styleId="1090">
    <w:name w:val="Table Grid"/>
    <w:basedOn w:val="108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91" w:customStyle="1">
    <w:name w:val="Заголовок Знак"/>
    <w:link w:val="1084"/>
    <w:rPr>
      <w:b/>
      <w:bCs/>
      <w:sz w:val="24"/>
      <w:szCs w:val="24"/>
      <w:lang w:val="ru-RU" w:eastAsia="ru-RU" w:bidi="ar-SA"/>
    </w:rPr>
  </w:style>
  <w:style w:type="character" w:styleId="1092" w:customStyle="1">
    <w:name w:val="Основной текст Знак"/>
    <w:link w:val="1089"/>
    <w:rPr>
      <w:lang w:val="ru-RU" w:eastAsia="ru-RU" w:bidi="ar-SA"/>
    </w:rPr>
  </w:style>
  <w:style w:type="paragraph" w:styleId="1093">
    <w:name w:val="Footer"/>
    <w:basedOn w:val="1078"/>
    <w:link w:val="1124"/>
    <w:uiPriority w:val="99"/>
    <w:pPr>
      <w:tabs>
        <w:tab w:val="center" w:pos="4677" w:leader="none"/>
        <w:tab w:val="right" w:pos="9355" w:leader="none"/>
      </w:tabs>
    </w:pPr>
  </w:style>
  <w:style w:type="character" w:styleId="1094">
    <w:name w:val="page number"/>
    <w:basedOn w:val="1081"/>
  </w:style>
  <w:style w:type="paragraph" w:styleId="1095">
    <w:name w:val="Body Text 3"/>
    <w:basedOn w:val="1078"/>
    <w:link w:val="1096"/>
    <w:pPr>
      <w:spacing w:after="120"/>
    </w:pPr>
    <w:rPr>
      <w:sz w:val="16"/>
      <w:szCs w:val="16"/>
    </w:rPr>
  </w:style>
  <w:style w:type="character" w:styleId="1096" w:customStyle="1">
    <w:name w:val="Основной текст 3 Знак"/>
    <w:link w:val="1095"/>
    <w:rPr>
      <w:sz w:val="16"/>
      <w:szCs w:val="16"/>
    </w:rPr>
  </w:style>
  <w:style w:type="character" w:styleId="1097">
    <w:name w:val="annotation reference"/>
    <w:rPr>
      <w:sz w:val="16"/>
      <w:szCs w:val="16"/>
    </w:rPr>
  </w:style>
  <w:style w:type="paragraph" w:styleId="1098">
    <w:name w:val="annotation text"/>
    <w:basedOn w:val="1078"/>
    <w:link w:val="1099"/>
  </w:style>
  <w:style w:type="character" w:styleId="1099" w:customStyle="1">
    <w:name w:val="Текст примечания Знак"/>
    <w:basedOn w:val="1081"/>
    <w:link w:val="1098"/>
  </w:style>
  <w:style w:type="paragraph" w:styleId="1100">
    <w:name w:val="annotation subject"/>
    <w:basedOn w:val="1098"/>
    <w:next w:val="1098"/>
    <w:link w:val="1101"/>
    <w:rPr>
      <w:b/>
      <w:bCs/>
    </w:rPr>
  </w:style>
  <w:style w:type="character" w:styleId="1101" w:customStyle="1">
    <w:name w:val="Тема примечания Знак"/>
    <w:link w:val="1100"/>
    <w:rPr>
      <w:b/>
      <w:bCs/>
    </w:rPr>
  </w:style>
  <w:style w:type="paragraph" w:styleId="1102">
    <w:name w:val="List Paragraph"/>
    <w:basedOn w:val="1078"/>
    <w:uiPriority w:val="34"/>
    <w:qFormat/>
    <w:pPr>
      <w:contextualSpacing/>
      <w:ind w:left="720"/>
    </w:pPr>
  </w:style>
  <w:style w:type="paragraph" w:styleId="1103" w:customStyle="1">
    <w:name w:val="Знак Знак Знак Знак Знак Знак Знак Знак Знак"/>
    <w:basedOn w:val="1078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104" w:customStyle="1">
    <w:name w:val="Подпункт договора"/>
    <w:basedOn w:val="1078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105" w:customStyle="1">
    <w:name w:val="Заголовок 3 Знак"/>
    <w:link w:val="1080"/>
    <w:semiHidden/>
    <w:rPr>
      <w:rFonts w:ascii="Cambria" w:hAnsi="Cambria" w:eastAsia="Times New Roman" w:cs="Times New Roman"/>
      <w:b/>
      <w:bCs/>
      <w:color w:val="4f81bd"/>
    </w:rPr>
  </w:style>
  <w:style w:type="paragraph" w:styleId="1106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07">
    <w:name w:val="Body Text Indent"/>
    <w:basedOn w:val="1078"/>
    <w:link w:val="1108"/>
    <w:pPr>
      <w:ind w:left="283"/>
      <w:spacing w:after="120"/>
    </w:pPr>
  </w:style>
  <w:style w:type="character" w:styleId="1108" w:customStyle="1">
    <w:name w:val="Основной текст с отступом Знак"/>
    <w:basedOn w:val="1081"/>
    <w:link w:val="1107"/>
  </w:style>
  <w:style w:type="paragraph" w:styleId="1109" w:customStyle="1">
    <w:name w:val="Знак"/>
    <w:basedOn w:val="1078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110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111">
    <w:name w:val="footnote text"/>
    <w:basedOn w:val="1078"/>
    <w:link w:val="1112"/>
  </w:style>
  <w:style w:type="character" w:styleId="1112" w:customStyle="1">
    <w:name w:val="Текст сноски Знак"/>
    <w:basedOn w:val="1081"/>
    <w:link w:val="1111"/>
  </w:style>
  <w:style w:type="character" w:styleId="1113">
    <w:name w:val="footnote reference"/>
    <w:rPr>
      <w:vertAlign w:val="superscript"/>
    </w:rPr>
  </w:style>
  <w:style w:type="paragraph" w:styleId="1114">
    <w:name w:val="List Bullet 3"/>
    <w:basedOn w:val="1078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115" w:customStyle="1">
    <w:name w:val="Контракт-пункт"/>
    <w:basedOn w:val="1078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116">
    <w:name w:val="Document Map"/>
    <w:basedOn w:val="1078"/>
    <w:semiHidden/>
    <w:pPr>
      <w:shd w:val="clear" w:color="auto" w:fill="000080"/>
    </w:pPr>
    <w:rPr>
      <w:rFonts w:ascii="Tahoma" w:hAnsi="Tahoma" w:cs="Tahoma"/>
    </w:rPr>
  </w:style>
  <w:style w:type="paragraph" w:styleId="1117">
    <w:name w:val="Revision"/>
    <w:hidden/>
    <w:uiPriority w:val="99"/>
    <w:semiHidden/>
  </w:style>
  <w:style w:type="paragraph" w:styleId="1118">
    <w:name w:val="Header"/>
    <w:basedOn w:val="1078"/>
    <w:link w:val="1119"/>
    <w:uiPriority w:val="99"/>
    <w:pPr>
      <w:tabs>
        <w:tab w:val="center" w:pos="4677" w:leader="none"/>
        <w:tab w:val="right" w:pos="9355" w:leader="none"/>
      </w:tabs>
    </w:pPr>
  </w:style>
  <w:style w:type="character" w:styleId="1119" w:customStyle="1">
    <w:name w:val="Верхний колонтитул Знак"/>
    <w:basedOn w:val="1081"/>
    <w:link w:val="1118"/>
    <w:uiPriority w:val="99"/>
  </w:style>
  <w:style w:type="paragraph" w:styleId="1120" w:customStyle="1">
    <w:name w:val="Пункт договора"/>
    <w:basedOn w:val="1078"/>
    <w:pPr>
      <w:jc w:val="both"/>
    </w:pPr>
    <w:rPr>
      <w:rFonts w:ascii="Arial" w:hAnsi="Arial"/>
    </w:rPr>
  </w:style>
  <w:style w:type="paragraph" w:styleId="1121" w:customStyle="1">
    <w:name w:val="Знак Знак Знак Знак Знак Знак Знак Знак Знак1"/>
    <w:basedOn w:val="1078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122">
    <w:name w:val="Hyperlink"/>
    <w:rPr>
      <w:color w:val="0000ff"/>
      <w:u w:val="single"/>
    </w:rPr>
  </w:style>
  <w:style w:type="paragraph" w:styleId="1123" w:customStyle="1">
    <w:name w:val="Обычный1"/>
  </w:style>
  <w:style w:type="character" w:styleId="1124" w:customStyle="1">
    <w:name w:val="Нижний колонтитул Знак"/>
    <w:link w:val="1093"/>
    <w:uiPriority w:val="99"/>
  </w:style>
  <w:style w:type="paragraph" w:styleId="1125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26">
    <w:name w:val="Normal (Web)"/>
    <w:basedOn w:val="1078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127" w:customStyle="1">
    <w:name w:val="StGen0"/>
    <w:basedOn w:val="1078"/>
    <w:next w:val="1084"/>
    <w:link w:val="1128"/>
    <w:qFormat/>
    <w:pPr>
      <w:jc w:val="center"/>
    </w:pPr>
    <w:rPr>
      <w:b/>
      <w:bCs/>
      <w:sz w:val="24"/>
      <w:szCs w:val="24"/>
    </w:rPr>
  </w:style>
  <w:style w:type="character" w:styleId="1128" w:customStyle="1">
    <w:name w:val="Название Знак"/>
    <w:link w:val="1127"/>
    <w:rPr>
      <w:b/>
      <w:bCs/>
      <w:sz w:val="24"/>
      <w:szCs w:val="24"/>
    </w:rPr>
  </w:style>
  <w:style w:type="paragraph" w:styleId="1129" w:customStyle="1">
    <w:name w:val="ConsNonformat"/>
    <w:rPr>
      <w:rFonts w:ascii="Courier New" w:hAnsi="Courier New" w:cs="Courier New"/>
    </w:rPr>
  </w:style>
  <w:style w:type="paragraph" w:styleId="1130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31" w:customStyle="1">
    <w:name w:val="Основной текст с отступом"/>
    <w:basedOn w:val="928"/>
    <w:next w:val="936"/>
    <w:link w:val="928"/>
    <w:semiHidden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Relationship Id="rId21" Type="http://schemas.openxmlformats.org/officeDocument/2006/relationships/hyperlink" Target="http://www.cb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revision>39</cp:revision>
  <dcterms:created xsi:type="dcterms:W3CDTF">2019-09-20T01:52:00Z</dcterms:created>
  <dcterms:modified xsi:type="dcterms:W3CDTF">2026-03-24T01:07:01Z</dcterms:modified>
</cp:coreProperties>
</file>